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A686E" w14:textId="2A212F0F" w:rsidR="00DA301F" w:rsidRPr="005467AE" w:rsidRDefault="006C53F7" w:rsidP="005467AE">
      <w:pPr>
        <w:ind w:left="-567"/>
        <w:jc w:val="center"/>
        <w:rPr>
          <w:rFonts w:cstheme="minorHAnsi"/>
          <w:b/>
          <w:sz w:val="26"/>
          <w:szCs w:val="26"/>
        </w:rPr>
      </w:pPr>
      <w:r w:rsidRPr="00E66833">
        <w:rPr>
          <w:rFonts w:cstheme="minorHAnsi"/>
          <w:b/>
          <w:sz w:val="26"/>
          <w:szCs w:val="26"/>
        </w:rPr>
        <w:t xml:space="preserve">Project Two – Teaching and learning; scaffolding and </w:t>
      </w:r>
      <w:proofErr w:type="gramStart"/>
      <w:r w:rsidRPr="00E66833">
        <w:rPr>
          <w:rFonts w:cstheme="minorHAnsi"/>
          <w:b/>
          <w:sz w:val="26"/>
          <w:szCs w:val="26"/>
        </w:rPr>
        <w:t>content</w:t>
      </w:r>
      <w:proofErr w:type="gramEnd"/>
    </w:p>
    <w:tbl>
      <w:tblPr>
        <w:tblStyle w:val="TableGrid"/>
        <w:tblpPr w:leftFromText="180" w:rightFromText="180" w:vertAnchor="text" w:horzAnchor="margin" w:tblpY="44"/>
        <w:tblW w:w="0" w:type="auto"/>
        <w:tblLook w:val="04A0" w:firstRow="1" w:lastRow="0" w:firstColumn="1" w:lastColumn="0" w:noHBand="0" w:noVBand="1"/>
      </w:tblPr>
      <w:tblGrid>
        <w:gridCol w:w="3539"/>
        <w:gridCol w:w="6917"/>
      </w:tblGrid>
      <w:tr w:rsidR="00E66833" w:rsidRPr="00E66833" w14:paraId="4C360D28" w14:textId="77777777" w:rsidTr="005D2814">
        <w:tc>
          <w:tcPr>
            <w:tcW w:w="3539" w:type="dxa"/>
            <w:shd w:val="clear" w:color="auto" w:fill="D9D9D9" w:themeFill="background1" w:themeFillShade="D9"/>
          </w:tcPr>
          <w:p w14:paraId="130B6670" w14:textId="77777777" w:rsidR="00E66833" w:rsidRPr="00E66833" w:rsidRDefault="00E66833" w:rsidP="00EE3512">
            <w:pPr>
              <w:rPr>
                <w:rFonts w:cstheme="minorHAnsi"/>
                <w:sz w:val="24"/>
                <w:szCs w:val="24"/>
              </w:rPr>
            </w:pPr>
            <w:r w:rsidRPr="00E66833">
              <w:rPr>
                <w:rFonts w:cstheme="minorHAnsi"/>
                <w:sz w:val="24"/>
                <w:szCs w:val="24"/>
              </w:rPr>
              <w:t>Title of case study/example of best practice</w:t>
            </w:r>
            <w:r w:rsidR="005D2814">
              <w:rPr>
                <w:rFonts w:cstheme="minorHAnsi"/>
                <w:sz w:val="24"/>
                <w:szCs w:val="24"/>
              </w:rPr>
              <w:t>:</w:t>
            </w:r>
          </w:p>
        </w:tc>
        <w:tc>
          <w:tcPr>
            <w:tcW w:w="6917" w:type="dxa"/>
          </w:tcPr>
          <w:p w14:paraId="376581EC" w14:textId="7C022A87" w:rsidR="00E66833" w:rsidRPr="006776EA" w:rsidRDefault="006776EA" w:rsidP="00EE3512">
            <w:pPr>
              <w:rPr>
                <w:rFonts w:cstheme="minorHAnsi"/>
                <w:b/>
                <w:sz w:val="24"/>
                <w:szCs w:val="24"/>
              </w:rPr>
            </w:pPr>
            <w:r w:rsidRPr="006776EA">
              <w:rPr>
                <w:rFonts w:cstheme="minorHAnsi"/>
                <w:b/>
                <w:sz w:val="24"/>
                <w:szCs w:val="24"/>
              </w:rPr>
              <w:t>Sighted guiding</w:t>
            </w:r>
          </w:p>
        </w:tc>
      </w:tr>
      <w:tr w:rsidR="00E66833" w:rsidRPr="00E66833" w14:paraId="059D9EA2" w14:textId="77777777" w:rsidTr="005D2814">
        <w:tc>
          <w:tcPr>
            <w:tcW w:w="3539" w:type="dxa"/>
            <w:shd w:val="clear" w:color="auto" w:fill="D9D9D9" w:themeFill="background1" w:themeFillShade="D9"/>
          </w:tcPr>
          <w:p w14:paraId="71E7155B" w14:textId="77777777" w:rsidR="00E66833" w:rsidRDefault="005D2814" w:rsidP="00EE3512">
            <w:pPr>
              <w:rPr>
                <w:rFonts w:cstheme="minorHAnsi"/>
                <w:sz w:val="24"/>
                <w:szCs w:val="24"/>
              </w:rPr>
            </w:pPr>
            <w:r>
              <w:rPr>
                <w:rFonts w:cstheme="minorHAnsi"/>
                <w:sz w:val="24"/>
                <w:szCs w:val="24"/>
              </w:rPr>
              <w:t>Lead Author(s):</w:t>
            </w:r>
          </w:p>
          <w:p w14:paraId="492B2B4F" w14:textId="1595866B" w:rsidR="005D2814" w:rsidRPr="00E66833" w:rsidRDefault="005D2814" w:rsidP="00EE3512">
            <w:pPr>
              <w:rPr>
                <w:rFonts w:cstheme="minorHAnsi"/>
                <w:sz w:val="24"/>
                <w:szCs w:val="24"/>
              </w:rPr>
            </w:pPr>
          </w:p>
        </w:tc>
        <w:tc>
          <w:tcPr>
            <w:tcW w:w="6917" w:type="dxa"/>
          </w:tcPr>
          <w:p w14:paraId="18295B3B" w14:textId="1BAD5BE2" w:rsidR="005D1CB0" w:rsidRPr="00E66833" w:rsidRDefault="00E249B0" w:rsidP="00EE3512">
            <w:pPr>
              <w:rPr>
                <w:rFonts w:cstheme="minorHAnsi"/>
                <w:sz w:val="24"/>
                <w:szCs w:val="24"/>
              </w:rPr>
            </w:pPr>
            <w:r>
              <w:rPr>
                <w:rFonts w:cstheme="minorHAnsi"/>
                <w:sz w:val="24"/>
                <w:szCs w:val="24"/>
              </w:rPr>
              <w:t>Caroline Daniel</w:t>
            </w:r>
            <w:r w:rsidR="006776EA">
              <w:rPr>
                <w:rFonts w:cstheme="minorHAnsi"/>
                <w:sz w:val="24"/>
                <w:szCs w:val="24"/>
              </w:rPr>
              <w:t xml:space="preserve"> and Robin Clayton (Optometry staff at the University of Huddersfield)</w:t>
            </w:r>
          </w:p>
        </w:tc>
      </w:tr>
      <w:tr w:rsidR="00E66833" w:rsidRPr="00E66833" w14:paraId="295201ED" w14:textId="77777777" w:rsidTr="005D2814">
        <w:tc>
          <w:tcPr>
            <w:tcW w:w="3539" w:type="dxa"/>
            <w:shd w:val="clear" w:color="auto" w:fill="D9D9D9" w:themeFill="background1" w:themeFillShade="D9"/>
          </w:tcPr>
          <w:p w14:paraId="0ADB692C" w14:textId="77777777" w:rsidR="00E66833" w:rsidRPr="00E66833" w:rsidRDefault="00E66833" w:rsidP="00EE3512">
            <w:pPr>
              <w:rPr>
                <w:rFonts w:cstheme="minorHAnsi"/>
                <w:sz w:val="24"/>
                <w:szCs w:val="24"/>
              </w:rPr>
            </w:pPr>
            <w:r w:rsidRPr="00E66833">
              <w:rPr>
                <w:rFonts w:cstheme="minorHAnsi"/>
                <w:sz w:val="24"/>
                <w:szCs w:val="24"/>
              </w:rPr>
              <w:t>Co-authors</w:t>
            </w:r>
            <w:r w:rsidR="005D2814">
              <w:rPr>
                <w:rFonts w:cstheme="minorHAnsi"/>
                <w:sz w:val="24"/>
                <w:szCs w:val="24"/>
              </w:rPr>
              <w:t>:</w:t>
            </w:r>
          </w:p>
        </w:tc>
        <w:tc>
          <w:tcPr>
            <w:tcW w:w="6917" w:type="dxa"/>
          </w:tcPr>
          <w:p w14:paraId="1E5E78EE" w14:textId="6B6D3091" w:rsidR="00E66833" w:rsidRPr="00E66833" w:rsidRDefault="006776EA" w:rsidP="00EE3512">
            <w:pPr>
              <w:rPr>
                <w:rFonts w:cstheme="minorHAnsi"/>
                <w:sz w:val="24"/>
                <w:szCs w:val="24"/>
              </w:rPr>
            </w:pPr>
            <w:r>
              <w:rPr>
                <w:rFonts w:cstheme="minorHAnsi"/>
                <w:sz w:val="24"/>
                <w:szCs w:val="24"/>
              </w:rPr>
              <w:t>N/A</w:t>
            </w:r>
          </w:p>
        </w:tc>
      </w:tr>
      <w:tr w:rsidR="00FC5036" w:rsidRPr="00E66833" w14:paraId="6799ABFF" w14:textId="77777777" w:rsidTr="00FC5036">
        <w:tc>
          <w:tcPr>
            <w:tcW w:w="3539" w:type="dxa"/>
            <w:shd w:val="clear" w:color="auto" w:fill="D9D9D9" w:themeFill="background1" w:themeFillShade="D9"/>
          </w:tcPr>
          <w:p w14:paraId="386DDEFB" w14:textId="57DFFCC3" w:rsidR="00FC5036" w:rsidRDefault="00FC5036" w:rsidP="00EE3512">
            <w:pPr>
              <w:rPr>
                <w:rFonts w:cstheme="minorHAnsi"/>
                <w:sz w:val="24"/>
                <w:szCs w:val="24"/>
              </w:rPr>
            </w:pPr>
            <w:r>
              <w:rPr>
                <w:rFonts w:cstheme="minorHAnsi"/>
                <w:sz w:val="24"/>
                <w:szCs w:val="24"/>
              </w:rPr>
              <w:t>University:</w:t>
            </w:r>
          </w:p>
        </w:tc>
        <w:tc>
          <w:tcPr>
            <w:tcW w:w="6917" w:type="dxa"/>
            <w:shd w:val="clear" w:color="auto" w:fill="auto"/>
          </w:tcPr>
          <w:p w14:paraId="03F84C74" w14:textId="3E775B4E" w:rsidR="00FC5036" w:rsidRDefault="006776EA" w:rsidP="00EE3512">
            <w:pPr>
              <w:rPr>
                <w:rFonts w:cstheme="minorHAnsi"/>
                <w:sz w:val="24"/>
                <w:szCs w:val="24"/>
              </w:rPr>
            </w:pPr>
            <w:r w:rsidRPr="006776EA">
              <w:rPr>
                <w:rFonts w:cstheme="minorHAnsi"/>
                <w:sz w:val="24"/>
                <w:szCs w:val="24"/>
              </w:rPr>
              <w:t>University of Huddersfield</w:t>
            </w:r>
          </w:p>
        </w:tc>
      </w:tr>
      <w:tr w:rsidR="00E66833" w:rsidRPr="00E66833" w14:paraId="63D304D1" w14:textId="77777777" w:rsidTr="00D10FDB">
        <w:tc>
          <w:tcPr>
            <w:tcW w:w="10456" w:type="dxa"/>
            <w:gridSpan w:val="2"/>
            <w:shd w:val="clear" w:color="auto" w:fill="D9D9D9" w:themeFill="background1" w:themeFillShade="D9"/>
          </w:tcPr>
          <w:p w14:paraId="4A20B52B" w14:textId="4BBE3CFE" w:rsidR="00E66833" w:rsidRPr="00E66833" w:rsidRDefault="005467AE" w:rsidP="00EE3512">
            <w:pPr>
              <w:rPr>
                <w:rFonts w:cstheme="minorHAnsi"/>
                <w:sz w:val="24"/>
                <w:szCs w:val="24"/>
              </w:rPr>
            </w:pPr>
            <w:r>
              <w:rPr>
                <w:rFonts w:cstheme="minorHAnsi"/>
                <w:sz w:val="24"/>
                <w:szCs w:val="24"/>
              </w:rPr>
              <w:t>Details of the activity undertaken</w:t>
            </w:r>
          </w:p>
        </w:tc>
      </w:tr>
      <w:tr w:rsidR="00E66833" w:rsidRPr="00E66833" w14:paraId="27E2B539" w14:textId="77777777" w:rsidTr="00D10FDB">
        <w:tc>
          <w:tcPr>
            <w:tcW w:w="10456" w:type="dxa"/>
            <w:gridSpan w:val="2"/>
            <w:shd w:val="clear" w:color="auto" w:fill="auto"/>
          </w:tcPr>
          <w:p w14:paraId="30B842AD" w14:textId="6D94E5AC" w:rsidR="00C6148A" w:rsidRPr="00E66833" w:rsidRDefault="006776EA" w:rsidP="00232DB3">
            <w:pPr>
              <w:rPr>
                <w:rFonts w:cstheme="minorHAnsi"/>
                <w:sz w:val="24"/>
                <w:szCs w:val="24"/>
              </w:rPr>
            </w:pPr>
            <w:r>
              <w:rPr>
                <w:rFonts w:cstheme="minorHAnsi"/>
                <w:sz w:val="24"/>
                <w:szCs w:val="24"/>
              </w:rPr>
              <w:t>Sighted guiding training provided by “</w:t>
            </w:r>
            <w:proofErr w:type="spellStart"/>
            <w:r>
              <w:rPr>
                <w:rFonts w:cstheme="minorHAnsi"/>
                <w:sz w:val="24"/>
                <w:szCs w:val="24"/>
              </w:rPr>
              <w:t>Outlookers</w:t>
            </w:r>
            <w:proofErr w:type="spellEnd"/>
            <w:r>
              <w:rPr>
                <w:rFonts w:cstheme="minorHAnsi"/>
                <w:sz w:val="24"/>
                <w:szCs w:val="24"/>
              </w:rPr>
              <w:t xml:space="preserve">” (a local low vision support charity): all final year Optometry students engaged in a sighted guiding training session to learn about walking/ orientation tools people with visual impairments use, how to approach a visually impaired person and how to actively guide someone in different scenarios (e.g. crossing a road, looking for landmarks, guiding indoors, pick-up and drop off from a meeting point, indoors moving from one room to another, guiding to a seat, </w:t>
            </w:r>
            <w:r w:rsidR="008054DC">
              <w:rPr>
                <w:rFonts w:cstheme="minorHAnsi"/>
                <w:sz w:val="24"/>
                <w:szCs w:val="24"/>
              </w:rPr>
              <w:t>etc.</w:t>
            </w:r>
            <w:r>
              <w:rPr>
                <w:rFonts w:cstheme="minorHAnsi"/>
                <w:sz w:val="24"/>
                <w:szCs w:val="24"/>
              </w:rPr>
              <w:t xml:space="preserve">). Optometry students first watched an introductory video and then met with a trainer; initial training was conducted and practised by working in pairs where one student was blindfolded to act as the patient. In this way each student also experienced the “patient-perspective” and provided feedback on the verbal instructions received. </w:t>
            </w:r>
          </w:p>
        </w:tc>
      </w:tr>
      <w:tr w:rsidR="00E66833" w:rsidRPr="00E66833" w14:paraId="5A5A7DCA" w14:textId="77777777" w:rsidTr="00D10FDB">
        <w:tc>
          <w:tcPr>
            <w:tcW w:w="10456" w:type="dxa"/>
            <w:gridSpan w:val="2"/>
            <w:shd w:val="clear" w:color="auto" w:fill="D9D9D9" w:themeFill="background1" w:themeFillShade="D9"/>
          </w:tcPr>
          <w:p w14:paraId="3F4F2566" w14:textId="4FA2B584" w:rsidR="00E66833" w:rsidRPr="00E66833" w:rsidRDefault="005467AE" w:rsidP="005D2814">
            <w:pPr>
              <w:rPr>
                <w:rFonts w:cstheme="minorHAnsi"/>
                <w:sz w:val="24"/>
                <w:szCs w:val="24"/>
              </w:rPr>
            </w:pPr>
            <w:r>
              <w:rPr>
                <w:rFonts w:cstheme="minorHAnsi"/>
                <w:sz w:val="24"/>
                <w:szCs w:val="24"/>
              </w:rPr>
              <w:t>Impact of the activity</w:t>
            </w:r>
          </w:p>
        </w:tc>
      </w:tr>
      <w:tr w:rsidR="00E66833" w:rsidRPr="00E66833" w14:paraId="324B9B42" w14:textId="77777777" w:rsidTr="00D10FDB">
        <w:tc>
          <w:tcPr>
            <w:tcW w:w="10456" w:type="dxa"/>
            <w:gridSpan w:val="2"/>
            <w:shd w:val="clear" w:color="auto" w:fill="auto"/>
          </w:tcPr>
          <w:p w14:paraId="63D9B6ED" w14:textId="0EA2195E" w:rsidR="00FD5E8C" w:rsidRPr="00FD5E8C" w:rsidRDefault="006776EA" w:rsidP="00FD5E8C">
            <w:pPr>
              <w:rPr>
                <w:rFonts w:cstheme="minorHAnsi"/>
                <w:sz w:val="24"/>
                <w:szCs w:val="24"/>
              </w:rPr>
            </w:pPr>
            <w:r>
              <w:rPr>
                <w:rFonts w:cstheme="minorHAnsi"/>
                <w:sz w:val="24"/>
                <w:szCs w:val="24"/>
              </w:rPr>
              <w:t xml:space="preserve">All final year students have regularly tested low vision patients fortnightly as part of their </w:t>
            </w:r>
            <w:proofErr w:type="gramStart"/>
            <w:r>
              <w:rPr>
                <w:rFonts w:cstheme="minorHAnsi"/>
                <w:sz w:val="24"/>
                <w:szCs w:val="24"/>
              </w:rPr>
              <w:t>third year</w:t>
            </w:r>
            <w:proofErr w:type="gramEnd"/>
            <w:r>
              <w:rPr>
                <w:rFonts w:cstheme="minorHAnsi"/>
                <w:sz w:val="24"/>
                <w:szCs w:val="24"/>
              </w:rPr>
              <w:t xml:space="preserve"> clinics. Most of the low vision patients attending were picked up from bus stops near the University, or the train station, and often wanted to be dropped off at a different site after the clinic. The sighted guiding sessions improved the student’s confidence not only </w:t>
            </w:r>
            <w:proofErr w:type="gramStart"/>
            <w:r>
              <w:rPr>
                <w:rFonts w:cstheme="minorHAnsi"/>
                <w:sz w:val="24"/>
                <w:szCs w:val="24"/>
              </w:rPr>
              <w:t>in regard to</w:t>
            </w:r>
            <w:proofErr w:type="gramEnd"/>
            <w:r>
              <w:rPr>
                <w:rFonts w:cstheme="minorHAnsi"/>
                <w:sz w:val="24"/>
                <w:szCs w:val="24"/>
              </w:rPr>
              <w:t xml:space="preserve"> communication but also feeling more confident to guide a patient. Initially students guided patients within the clinics to different testing bays/ equipment and consulting rooms but with experience students picked up patients from train and bus stations and guided them to their next meeting point after completing the sight test. The training and following engagement with guiding, sight testing and conversations on the way back have helped the students not only developing their communication skills but also supported their learning around health and safety, safeguarding, confidentiality, inclusion, empathy, access and so on.</w:t>
            </w:r>
          </w:p>
        </w:tc>
      </w:tr>
      <w:tr w:rsidR="005467AE" w:rsidRPr="00E66833" w14:paraId="3BDAE0A7" w14:textId="77777777" w:rsidTr="00A34E22">
        <w:tc>
          <w:tcPr>
            <w:tcW w:w="10456" w:type="dxa"/>
            <w:gridSpan w:val="2"/>
            <w:shd w:val="clear" w:color="auto" w:fill="D9D9D9" w:themeFill="background1" w:themeFillShade="D9"/>
          </w:tcPr>
          <w:p w14:paraId="334A1380" w14:textId="4B9E6E06" w:rsidR="005467AE" w:rsidRDefault="005467AE" w:rsidP="00E66833">
            <w:pPr>
              <w:rPr>
                <w:rFonts w:cstheme="minorHAnsi"/>
                <w:sz w:val="24"/>
                <w:szCs w:val="24"/>
              </w:rPr>
            </w:pPr>
            <w:r>
              <w:rPr>
                <w:rFonts w:cstheme="minorHAnsi"/>
                <w:sz w:val="24"/>
                <w:szCs w:val="24"/>
              </w:rPr>
              <w:t>This case study relates to the following GOC outcomes:</w:t>
            </w:r>
          </w:p>
        </w:tc>
      </w:tr>
      <w:tr w:rsidR="007B018F" w:rsidRPr="00E66833" w14:paraId="53EAF7E7" w14:textId="77777777" w:rsidTr="00D10FDB">
        <w:trPr>
          <w:trHeight w:val="2391"/>
        </w:trPr>
        <w:tc>
          <w:tcPr>
            <w:tcW w:w="10456" w:type="dxa"/>
            <w:gridSpan w:val="2"/>
            <w:shd w:val="clear" w:color="auto" w:fill="auto"/>
          </w:tcPr>
          <w:p w14:paraId="787F92E4" w14:textId="2CF6593B" w:rsidR="007B018F" w:rsidRPr="007B018F" w:rsidRDefault="007B018F" w:rsidP="007B018F">
            <w:pPr>
              <w:pStyle w:val="Heading3"/>
              <w:rPr>
                <w:rFonts w:asciiTheme="minorHAnsi" w:eastAsiaTheme="minorHAnsi" w:hAnsiTheme="minorHAnsi" w:cstheme="minorHAnsi"/>
                <w:color w:val="auto"/>
              </w:rPr>
            </w:pPr>
            <w:bookmarkStart w:id="0" w:name="_Toc96351079"/>
            <w:r w:rsidRPr="007B018F">
              <w:rPr>
                <w:rFonts w:asciiTheme="minorHAnsi" w:eastAsiaTheme="minorHAnsi" w:hAnsiTheme="minorHAnsi" w:cstheme="minorHAnsi"/>
                <w:color w:val="auto"/>
              </w:rPr>
              <w:t>Outcome 1. Person Centred Care</w:t>
            </w:r>
            <w:r>
              <w:rPr>
                <w:rFonts w:asciiTheme="minorHAnsi" w:eastAsiaTheme="minorHAnsi" w:hAnsiTheme="minorHAnsi" w:cstheme="minorHAnsi"/>
                <w:color w:val="auto"/>
              </w:rPr>
              <w:t xml:space="preserve"> </w:t>
            </w:r>
            <w:sdt>
              <w:sdtPr>
                <w:rPr>
                  <w:rFonts w:asciiTheme="minorHAnsi" w:eastAsiaTheme="minorHAnsi" w:hAnsiTheme="minorHAnsi" w:cstheme="minorHAnsi"/>
                  <w:color w:val="auto"/>
                </w:rPr>
                <w:id w:val="1800716022"/>
                <w14:checkbox>
                  <w14:checked w14:val="0"/>
                  <w14:checkedState w14:val="2612" w14:font="MS Gothic"/>
                  <w14:uncheckedState w14:val="2610" w14:font="MS Gothic"/>
                </w14:checkbox>
              </w:sdtPr>
              <w:sdtContent>
                <w:r>
                  <w:rPr>
                    <w:rFonts w:ascii="MS Gothic" w:eastAsia="MS Gothic" w:hAnsi="MS Gothic" w:cstheme="minorHAnsi" w:hint="eastAsia"/>
                    <w:color w:val="auto"/>
                  </w:rPr>
                  <w:t>☐</w:t>
                </w:r>
              </w:sdtContent>
            </w:sdt>
          </w:p>
          <w:p w14:paraId="51332718" w14:textId="02362BEE" w:rsidR="007B018F" w:rsidRPr="007B018F" w:rsidRDefault="007B018F" w:rsidP="007B018F">
            <w:pPr>
              <w:pStyle w:val="Heading3"/>
              <w:rPr>
                <w:rFonts w:asciiTheme="minorHAnsi" w:eastAsiaTheme="minorHAnsi" w:hAnsiTheme="minorHAnsi" w:cstheme="minorHAnsi"/>
                <w:color w:val="auto"/>
              </w:rPr>
            </w:pPr>
            <w:bookmarkStart w:id="1" w:name="_Toc96351080"/>
            <w:bookmarkEnd w:id="0"/>
            <w:r w:rsidRPr="007B018F">
              <w:rPr>
                <w:rFonts w:asciiTheme="minorHAnsi" w:eastAsiaTheme="minorHAnsi" w:hAnsiTheme="minorHAnsi" w:cstheme="minorHAnsi"/>
                <w:color w:val="auto"/>
              </w:rPr>
              <w:t>Outcome 2. Communication</w:t>
            </w:r>
            <w:r>
              <w:rPr>
                <w:rFonts w:asciiTheme="minorHAnsi" w:eastAsiaTheme="minorHAnsi" w:hAnsiTheme="minorHAnsi" w:cstheme="minorHAnsi"/>
                <w:color w:val="auto"/>
              </w:rPr>
              <w:t xml:space="preserve"> </w:t>
            </w:r>
            <w:sdt>
              <w:sdtPr>
                <w:rPr>
                  <w:rFonts w:asciiTheme="minorHAnsi" w:eastAsiaTheme="minorHAnsi" w:hAnsiTheme="minorHAnsi" w:cstheme="minorHAnsi"/>
                  <w:color w:val="auto"/>
                </w:rPr>
                <w:id w:val="-1933958981"/>
                <w14:checkbox>
                  <w14:checked w14:val="0"/>
                  <w14:checkedState w14:val="2612" w14:font="MS Gothic"/>
                  <w14:uncheckedState w14:val="2610" w14:font="MS Gothic"/>
                </w14:checkbox>
              </w:sdtPr>
              <w:sdtContent>
                <w:r>
                  <w:rPr>
                    <w:rFonts w:ascii="MS Gothic" w:eastAsia="MS Gothic" w:hAnsi="MS Gothic" w:cstheme="minorHAnsi" w:hint="eastAsia"/>
                    <w:color w:val="auto"/>
                  </w:rPr>
                  <w:t>☐</w:t>
                </w:r>
              </w:sdtContent>
            </w:sdt>
          </w:p>
          <w:p w14:paraId="326F9DB5" w14:textId="72B5B6CB" w:rsidR="007B018F" w:rsidRPr="007B018F" w:rsidRDefault="007B018F" w:rsidP="007B018F">
            <w:pPr>
              <w:pStyle w:val="Heading3"/>
              <w:rPr>
                <w:rFonts w:asciiTheme="minorHAnsi" w:eastAsiaTheme="minorHAnsi" w:hAnsiTheme="minorHAnsi" w:cstheme="minorHAnsi"/>
                <w:color w:val="auto"/>
              </w:rPr>
            </w:pPr>
            <w:bookmarkStart w:id="2" w:name="_Toc96351081"/>
            <w:bookmarkEnd w:id="1"/>
            <w:r w:rsidRPr="007B018F">
              <w:rPr>
                <w:rFonts w:asciiTheme="minorHAnsi" w:eastAsiaTheme="minorHAnsi" w:hAnsiTheme="minorHAnsi" w:cstheme="minorHAnsi"/>
                <w:color w:val="auto"/>
              </w:rPr>
              <w:t>Outcome 3. Clinical Care</w:t>
            </w:r>
            <w:r>
              <w:rPr>
                <w:rFonts w:asciiTheme="minorHAnsi" w:eastAsiaTheme="minorHAnsi" w:hAnsiTheme="minorHAnsi" w:cstheme="minorHAnsi"/>
                <w:color w:val="auto"/>
              </w:rPr>
              <w:t xml:space="preserve"> </w:t>
            </w:r>
            <w:sdt>
              <w:sdtPr>
                <w:rPr>
                  <w:rFonts w:asciiTheme="minorHAnsi" w:eastAsiaTheme="minorHAnsi" w:hAnsiTheme="minorHAnsi" w:cstheme="minorHAnsi"/>
                  <w:color w:val="auto"/>
                </w:rPr>
                <w:id w:val="-1381861670"/>
                <w14:checkbox>
                  <w14:checked w14:val="0"/>
                  <w14:checkedState w14:val="2612" w14:font="MS Gothic"/>
                  <w14:uncheckedState w14:val="2610" w14:font="MS Gothic"/>
                </w14:checkbox>
              </w:sdtPr>
              <w:sdtContent>
                <w:r>
                  <w:rPr>
                    <w:rFonts w:ascii="MS Gothic" w:eastAsia="MS Gothic" w:hAnsi="MS Gothic" w:cstheme="minorHAnsi" w:hint="eastAsia"/>
                    <w:color w:val="auto"/>
                  </w:rPr>
                  <w:t>☐</w:t>
                </w:r>
              </w:sdtContent>
            </w:sdt>
          </w:p>
          <w:p w14:paraId="7F02085C" w14:textId="461A484E" w:rsidR="007B018F" w:rsidRPr="006776EA" w:rsidRDefault="007B018F" w:rsidP="006776EA">
            <w:pPr>
              <w:pStyle w:val="Heading3"/>
              <w:tabs>
                <w:tab w:val="left" w:pos="4305"/>
              </w:tabs>
              <w:rPr>
                <w:rFonts w:asciiTheme="minorHAnsi" w:eastAsiaTheme="minorHAnsi" w:hAnsiTheme="minorHAnsi" w:cstheme="minorHAnsi"/>
                <w:b/>
                <w:color w:val="auto"/>
              </w:rPr>
            </w:pPr>
            <w:bookmarkStart w:id="3" w:name="_Toc96351082"/>
            <w:bookmarkEnd w:id="2"/>
            <w:r w:rsidRPr="006776EA">
              <w:rPr>
                <w:rFonts w:asciiTheme="minorHAnsi" w:eastAsiaTheme="minorHAnsi" w:hAnsiTheme="minorHAnsi" w:cstheme="minorHAnsi"/>
                <w:b/>
                <w:color w:val="auto"/>
              </w:rPr>
              <w:t xml:space="preserve">Outcome 4. Ethics and Standards </w:t>
            </w:r>
            <w:sdt>
              <w:sdtPr>
                <w:rPr>
                  <w:rFonts w:asciiTheme="minorHAnsi" w:eastAsiaTheme="minorHAnsi" w:hAnsiTheme="minorHAnsi" w:cstheme="minorHAnsi"/>
                  <w:b/>
                  <w:color w:val="auto"/>
                </w:rPr>
                <w:id w:val="-638271402"/>
                <w14:checkbox>
                  <w14:checked w14:val="1"/>
                  <w14:checkedState w14:val="2612" w14:font="MS Gothic"/>
                  <w14:uncheckedState w14:val="2610" w14:font="MS Gothic"/>
                </w14:checkbox>
              </w:sdtPr>
              <w:sdtContent>
                <w:r w:rsidR="006776EA" w:rsidRPr="006776EA">
                  <w:rPr>
                    <w:rFonts w:ascii="MS Gothic" w:eastAsia="MS Gothic" w:hAnsi="MS Gothic" w:cstheme="minorHAnsi" w:hint="eastAsia"/>
                    <w:b/>
                    <w:color w:val="auto"/>
                  </w:rPr>
                  <w:t>☒</w:t>
                </w:r>
              </w:sdtContent>
            </w:sdt>
            <w:r w:rsidR="006776EA" w:rsidRPr="006776EA">
              <w:rPr>
                <w:rFonts w:asciiTheme="minorHAnsi" w:eastAsiaTheme="minorHAnsi" w:hAnsiTheme="minorHAnsi" w:cstheme="minorHAnsi"/>
                <w:b/>
                <w:color w:val="auto"/>
              </w:rPr>
              <w:t xml:space="preserve"> Outcomes O4.3, O4.9, O4.15</w:t>
            </w:r>
          </w:p>
          <w:p w14:paraId="0C07A8F0" w14:textId="3AFB00A4" w:rsidR="007B018F" w:rsidRPr="007B018F" w:rsidRDefault="007B018F" w:rsidP="007B018F">
            <w:pPr>
              <w:pStyle w:val="Heading3"/>
              <w:rPr>
                <w:rFonts w:asciiTheme="minorHAnsi" w:eastAsiaTheme="minorHAnsi" w:hAnsiTheme="minorHAnsi" w:cstheme="minorHAnsi"/>
                <w:color w:val="auto"/>
              </w:rPr>
            </w:pPr>
            <w:bookmarkStart w:id="4" w:name="_Toc96351083"/>
            <w:bookmarkEnd w:id="3"/>
            <w:r w:rsidRPr="007B018F">
              <w:rPr>
                <w:rFonts w:asciiTheme="minorHAnsi" w:eastAsiaTheme="minorHAnsi" w:hAnsiTheme="minorHAnsi" w:cstheme="minorHAnsi"/>
                <w:color w:val="auto"/>
              </w:rPr>
              <w:t>Outcome 5. Risk</w:t>
            </w:r>
            <w:r>
              <w:rPr>
                <w:rFonts w:asciiTheme="minorHAnsi" w:eastAsiaTheme="minorHAnsi" w:hAnsiTheme="minorHAnsi" w:cstheme="minorHAnsi"/>
                <w:color w:val="auto"/>
              </w:rPr>
              <w:t xml:space="preserve"> </w:t>
            </w:r>
            <w:sdt>
              <w:sdtPr>
                <w:rPr>
                  <w:rFonts w:asciiTheme="minorHAnsi" w:eastAsiaTheme="minorHAnsi" w:hAnsiTheme="minorHAnsi" w:cstheme="minorHAnsi"/>
                  <w:color w:val="auto"/>
                </w:rPr>
                <w:id w:val="1137992049"/>
                <w14:checkbox>
                  <w14:checked w14:val="0"/>
                  <w14:checkedState w14:val="2612" w14:font="MS Gothic"/>
                  <w14:uncheckedState w14:val="2610" w14:font="MS Gothic"/>
                </w14:checkbox>
              </w:sdtPr>
              <w:sdtContent>
                <w:r>
                  <w:rPr>
                    <w:rFonts w:ascii="MS Gothic" w:eastAsia="MS Gothic" w:hAnsi="MS Gothic" w:cstheme="minorHAnsi" w:hint="eastAsia"/>
                    <w:color w:val="auto"/>
                  </w:rPr>
                  <w:t>☐</w:t>
                </w:r>
              </w:sdtContent>
            </w:sdt>
          </w:p>
          <w:p w14:paraId="1CE8A7E0" w14:textId="028C7BC2" w:rsidR="007B018F" w:rsidRPr="007B018F" w:rsidRDefault="007B018F" w:rsidP="007B018F">
            <w:pPr>
              <w:pStyle w:val="Heading3"/>
              <w:rPr>
                <w:rFonts w:asciiTheme="minorHAnsi" w:eastAsiaTheme="minorHAnsi" w:hAnsiTheme="minorHAnsi" w:cstheme="minorHAnsi"/>
                <w:color w:val="auto"/>
              </w:rPr>
            </w:pPr>
            <w:bookmarkStart w:id="5" w:name="_Toc96351084"/>
            <w:bookmarkEnd w:id="4"/>
            <w:r w:rsidRPr="007B018F">
              <w:rPr>
                <w:rFonts w:asciiTheme="minorHAnsi" w:eastAsiaTheme="minorHAnsi" w:hAnsiTheme="minorHAnsi" w:cstheme="minorHAnsi"/>
                <w:color w:val="auto"/>
              </w:rPr>
              <w:t>Outcome 6. Leadership and Management</w:t>
            </w:r>
            <w:r>
              <w:rPr>
                <w:rFonts w:asciiTheme="minorHAnsi" w:eastAsiaTheme="minorHAnsi" w:hAnsiTheme="minorHAnsi" w:cstheme="minorHAnsi"/>
                <w:color w:val="auto"/>
              </w:rPr>
              <w:t xml:space="preserve"> </w:t>
            </w:r>
            <w:sdt>
              <w:sdtPr>
                <w:rPr>
                  <w:rFonts w:asciiTheme="minorHAnsi" w:eastAsiaTheme="minorHAnsi" w:hAnsiTheme="minorHAnsi" w:cstheme="minorHAnsi"/>
                  <w:color w:val="auto"/>
                </w:rPr>
                <w:id w:val="-600030909"/>
                <w14:checkbox>
                  <w14:checked w14:val="0"/>
                  <w14:checkedState w14:val="2612" w14:font="MS Gothic"/>
                  <w14:uncheckedState w14:val="2610" w14:font="MS Gothic"/>
                </w14:checkbox>
              </w:sdtPr>
              <w:sdtContent>
                <w:r>
                  <w:rPr>
                    <w:rFonts w:ascii="MS Gothic" w:eastAsia="MS Gothic" w:hAnsi="MS Gothic" w:cstheme="minorHAnsi" w:hint="eastAsia"/>
                    <w:color w:val="auto"/>
                  </w:rPr>
                  <w:t>☐</w:t>
                </w:r>
              </w:sdtContent>
            </w:sdt>
          </w:p>
          <w:p w14:paraId="5BAA6BB2" w14:textId="77777777" w:rsidR="007B018F" w:rsidRDefault="007B018F" w:rsidP="00A35FB5">
            <w:pPr>
              <w:pStyle w:val="Heading3"/>
              <w:tabs>
                <w:tab w:val="left" w:pos="3720"/>
              </w:tabs>
              <w:rPr>
                <w:rFonts w:asciiTheme="minorHAnsi" w:eastAsiaTheme="minorHAnsi" w:hAnsiTheme="minorHAnsi" w:cstheme="minorHAnsi"/>
                <w:color w:val="auto"/>
              </w:rPr>
            </w:pPr>
            <w:bookmarkStart w:id="6" w:name="_Toc96351085"/>
            <w:bookmarkEnd w:id="5"/>
            <w:r w:rsidRPr="00A35FB5">
              <w:rPr>
                <w:rFonts w:asciiTheme="minorHAnsi" w:eastAsiaTheme="minorHAnsi" w:hAnsiTheme="minorHAnsi" w:cstheme="minorHAnsi"/>
                <w:color w:val="auto"/>
              </w:rPr>
              <w:t>Outcome 7. Lifelong Learning</w:t>
            </w:r>
            <w:bookmarkEnd w:id="6"/>
            <w:r w:rsidRPr="00A35FB5">
              <w:rPr>
                <w:rFonts w:asciiTheme="minorHAnsi" w:eastAsiaTheme="minorHAnsi" w:hAnsiTheme="minorHAnsi" w:cstheme="minorHAnsi"/>
                <w:color w:val="auto"/>
              </w:rPr>
              <w:t xml:space="preserve"> </w:t>
            </w:r>
            <w:sdt>
              <w:sdtPr>
                <w:rPr>
                  <w:rFonts w:asciiTheme="minorHAnsi" w:eastAsiaTheme="minorHAnsi" w:hAnsiTheme="minorHAnsi" w:cstheme="minorHAnsi"/>
                  <w:color w:val="auto"/>
                </w:rPr>
                <w:id w:val="149874247"/>
                <w14:checkbox>
                  <w14:checked w14:val="0"/>
                  <w14:checkedState w14:val="2612" w14:font="MS Gothic"/>
                  <w14:uncheckedState w14:val="2610" w14:font="MS Gothic"/>
                </w14:checkbox>
              </w:sdtPr>
              <w:sdtContent>
                <w:r w:rsidR="00A35FB5">
                  <w:rPr>
                    <w:rFonts w:ascii="MS Gothic" w:eastAsia="MS Gothic" w:hAnsi="MS Gothic" w:cstheme="minorHAnsi" w:hint="eastAsia"/>
                    <w:color w:val="auto"/>
                  </w:rPr>
                  <w:t>☐</w:t>
                </w:r>
              </w:sdtContent>
            </w:sdt>
            <w:r w:rsidRPr="00A35FB5">
              <w:rPr>
                <w:rFonts w:asciiTheme="minorHAnsi" w:eastAsiaTheme="minorHAnsi" w:hAnsiTheme="minorHAnsi" w:cstheme="minorHAnsi"/>
                <w:color w:val="auto"/>
              </w:rPr>
              <w:tab/>
            </w:r>
          </w:p>
          <w:p w14:paraId="61B766AD" w14:textId="33F27A1C" w:rsidR="00B23B08" w:rsidRPr="00B23B08" w:rsidRDefault="00B23B08" w:rsidP="00B23B08">
            <w:r w:rsidRPr="00B23B08">
              <w:rPr>
                <w:rFonts w:cstheme="minorHAnsi"/>
                <w:sz w:val="24"/>
                <w:szCs w:val="24"/>
              </w:rPr>
              <w:t xml:space="preserve">Scaffolding/Student experience &amp; engagement </w:t>
            </w:r>
            <w:sdt>
              <w:sdtPr>
                <w:rPr>
                  <w:rFonts w:cstheme="minorHAnsi"/>
                  <w:sz w:val="24"/>
                  <w:szCs w:val="24"/>
                </w:rPr>
                <w:id w:val="866484745"/>
                <w14:checkbox>
                  <w14:checked w14:val="0"/>
                  <w14:checkedState w14:val="2612" w14:font="MS Gothic"/>
                  <w14:uncheckedState w14:val="2610" w14:font="MS Gothic"/>
                </w14:checkbox>
              </w:sdtPr>
              <w:sdtContent>
                <w:r w:rsidRPr="00B23B08">
                  <w:rPr>
                    <w:rFonts w:ascii="MS Gothic" w:eastAsia="MS Gothic" w:hAnsi="MS Gothic" w:cstheme="minorHAnsi" w:hint="eastAsia"/>
                    <w:sz w:val="24"/>
                    <w:szCs w:val="24"/>
                  </w:rPr>
                  <w:t>☐</w:t>
                </w:r>
              </w:sdtContent>
            </w:sdt>
          </w:p>
        </w:tc>
      </w:tr>
    </w:tbl>
    <w:p w14:paraId="5964B646" w14:textId="77777777" w:rsidR="006C53F7" w:rsidRDefault="006C53F7">
      <w:pPr>
        <w:rPr>
          <w:rFonts w:cstheme="minorHAnsi"/>
          <w:sz w:val="24"/>
          <w:szCs w:val="24"/>
        </w:rPr>
      </w:pPr>
    </w:p>
    <w:p w14:paraId="07B18B57" w14:textId="43E04B8F" w:rsidR="00DA301F" w:rsidRPr="00E66833" w:rsidRDefault="00DA301F">
      <w:pPr>
        <w:rPr>
          <w:rFonts w:cstheme="minorHAnsi"/>
          <w:sz w:val="24"/>
          <w:szCs w:val="24"/>
        </w:rPr>
      </w:pPr>
    </w:p>
    <w:sectPr w:rsidR="00DA301F" w:rsidRPr="00E66833" w:rsidSect="006C53F7">
      <w:headerReference w:type="default" r:id="rId11"/>
      <w:pgSz w:w="11906" w:h="16838"/>
      <w:pgMar w:top="720" w:right="720" w:bottom="720"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6932" w14:textId="77777777" w:rsidR="00D9562F" w:rsidRDefault="00D9562F" w:rsidP="005B55BE">
      <w:pPr>
        <w:spacing w:after="0" w:line="240" w:lineRule="auto"/>
      </w:pPr>
      <w:r>
        <w:separator/>
      </w:r>
    </w:p>
  </w:endnote>
  <w:endnote w:type="continuationSeparator" w:id="0">
    <w:p w14:paraId="65EBE4C4" w14:textId="77777777" w:rsidR="00D9562F" w:rsidRDefault="00D9562F" w:rsidP="005B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6B95" w14:textId="77777777" w:rsidR="00D9562F" w:rsidRDefault="00D9562F" w:rsidP="005B55BE">
      <w:pPr>
        <w:spacing w:after="0" w:line="240" w:lineRule="auto"/>
      </w:pPr>
      <w:r>
        <w:separator/>
      </w:r>
    </w:p>
  </w:footnote>
  <w:footnote w:type="continuationSeparator" w:id="0">
    <w:p w14:paraId="4380E293" w14:textId="77777777" w:rsidR="00D9562F" w:rsidRDefault="00D9562F" w:rsidP="005B5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63BB" w14:textId="77777777" w:rsidR="005B55BE" w:rsidRDefault="005B55BE" w:rsidP="005B55BE">
    <w:pPr>
      <w:pStyle w:val="Header"/>
      <w:tabs>
        <w:tab w:val="clear" w:pos="9026"/>
      </w:tabs>
      <w:ind w:right="-448"/>
    </w:pPr>
    <w:r>
      <w:tab/>
    </w:r>
    <w:r>
      <w:tab/>
      <w:t xml:space="preserve">                                             </w:t>
    </w:r>
    <w:r>
      <w:rPr>
        <w:noProof/>
        <w:lang w:eastAsia="en-GB"/>
      </w:rPr>
      <w:drawing>
        <wp:inline distT="0" distB="0" distL="0" distR="0" wp14:anchorId="3EECE6E6" wp14:editId="2162E23E">
          <wp:extent cx="1933575" cy="841583"/>
          <wp:effectExtent l="0" t="0" r="0" b="0"/>
          <wp:docPr id="13" name="Picture 1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3429" cy="8458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E40"/>
    <w:multiLevelType w:val="multilevel"/>
    <w:tmpl w:val="B9FE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7517A"/>
    <w:multiLevelType w:val="hybridMultilevel"/>
    <w:tmpl w:val="1B18D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E7284"/>
    <w:multiLevelType w:val="hybridMultilevel"/>
    <w:tmpl w:val="EB42E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8690477">
    <w:abstractNumId w:val="0"/>
  </w:num>
  <w:num w:numId="2" w16cid:durableId="1508248667">
    <w:abstractNumId w:val="1"/>
  </w:num>
  <w:num w:numId="3" w16cid:durableId="1507089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6C"/>
    <w:rsid w:val="0005066C"/>
    <w:rsid w:val="00074CE3"/>
    <w:rsid w:val="0007605B"/>
    <w:rsid w:val="001474FB"/>
    <w:rsid w:val="001509B0"/>
    <w:rsid w:val="001C5327"/>
    <w:rsid w:val="001E05F3"/>
    <w:rsid w:val="001E7A02"/>
    <w:rsid w:val="00220B19"/>
    <w:rsid w:val="00232DB3"/>
    <w:rsid w:val="002831F9"/>
    <w:rsid w:val="003013F1"/>
    <w:rsid w:val="00347A10"/>
    <w:rsid w:val="003C7A03"/>
    <w:rsid w:val="00413806"/>
    <w:rsid w:val="004616E6"/>
    <w:rsid w:val="00477D9D"/>
    <w:rsid w:val="00483986"/>
    <w:rsid w:val="00514D5F"/>
    <w:rsid w:val="00534E69"/>
    <w:rsid w:val="0053630A"/>
    <w:rsid w:val="005417A7"/>
    <w:rsid w:val="005467AE"/>
    <w:rsid w:val="005640EB"/>
    <w:rsid w:val="0057229E"/>
    <w:rsid w:val="00596FA9"/>
    <w:rsid w:val="005A68C6"/>
    <w:rsid w:val="005B45F1"/>
    <w:rsid w:val="005B55BE"/>
    <w:rsid w:val="005D1CB0"/>
    <w:rsid w:val="005D2814"/>
    <w:rsid w:val="005F153C"/>
    <w:rsid w:val="006776EA"/>
    <w:rsid w:val="006C53F7"/>
    <w:rsid w:val="006C651C"/>
    <w:rsid w:val="006F4F81"/>
    <w:rsid w:val="00717D09"/>
    <w:rsid w:val="0074687E"/>
    <w:rsid w:val="007B018F"/>
    <w:rsid w:val="007C1035"/>
    <w:rsid w:val="007D4D68"/>
    <w:rsid w:val="007F65B4"/>
    <w:rsid w:val="008054DC"/>
    <w:rsid w:val="008965CB"/>
    <w:rsid w:val="008A6C54"/>
    <w:rsid w:val="008C06CC"/>
    <w:rsid w:val="00904F87"/>
    <w:rsid w:val="0094220E"/>
    <w:rsid w:val="00962779"/>
    <w:rsid w:val="00972ADE"/>
    <w:rsid w:val="009A1CF2"/>
    <w:rsid w:val="009E2DAD"/>
    <w:rsid w:val="00A34E22"/>
    <w:rsid w:val="00A35FB5"/>
    <w:rsid w:val="00A46C6A"/>
    <w:rsid w:val="00B23B08"/>
    <w:rsid w:val="00B31513"/>
    <w:rsid w:val="00BD3B31"/>
    <w:rsid w:val="00BF509C"/>
    <w:rsid w:val="00C434C8"/>
    <w:rsid w:val="00C6148A"/>
    <w:rsid w:val="00C761E6"/>
    <w:rsid w:val="00C85D8C"/>
    <w:rsid w:val="00D10FDB"/>
    <w:rsid w:val="00D9562F"/>
    <w:rsid w:val="00DA301F"/>
    <w:rsid w:val="00DB3B47"/>
    <w:rsid w:val="00E249B0"/>
    <w:rsid w:val="00E4604B"/>
    <w:rsid w:val="00E630C8"/>
    <w:rsid w:val="00E66833"/>
    <w:rsid w:val="00EE3512"/>
    <w:rsid w:val="00F073DB"/>
    <w:rsid w:val="00F43C42"/>
    <w:rsid w:val="00F46B6D"/>
    <w:rsid w:val="00F75ED3"/>
    <w:rsid w:val="00FC5036"/>
    <w:rsid w:val="00FD5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23C06"/>
  <w15:chartTrackingRefBased/>
  <w15:docId w15:val="{A1D0EABE-5449-488E-B6DA-E1AC363D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3F7"/>
  </w:style>
  <w:style w:type="paragraph" w:styleId="Heading2">
    <w:name w:val="heading 2"/>
    <w:basedOn w:val="Normal"/>
    <w:link w:val="Heading2Char"/>
    <w:uiPriority w:val="9"/>
    <w:qFormat/>
    <w:rsid w:val="006C53F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7B01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0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5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5BE"/>
  </w:style>
  <w:style w:type="paragraph" w:styleId="Footer">
    <w:name w:val="footer"/>
    <w:basedOn w:val="Normal"/>
    <w:link w:val="FooterChar"/>
    <w:uiPriority w:val="99"/>
    <w:unhideWhenUsed/>
    <w:rsid w:val="005B5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5BE"/>
  </w:style>
  <w:style w:type="paragraph" w:styleId="NormalWeb">
    <w:name w:val="Normal (Web)"/>
    <w:basedOn w:val="Normal"/>
    <w:uiPriority w:val="99"/>
    <w:semiHidden/>
    <w:unhideWhenUsed/>
    <w:rsid w:val="00E630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073DB"/>
    <w:pPr>
      <w:ind w:left="720"/>
      <w:contextualSpacing/>
    </w:pPr>
  </w:style>
  <w:style w:type="character" w:customStyle="1" w:styleId="Heading2Char">
    <w:name w:val="Heading 2 Char"/>
    <w:basedOn w:val="DefaultParagraphFont"/>
    <w:link w:val="Heading2"/>
    <w:uiPriority w:val="9"/>
    <w:rsid w:val="006C53F7"/>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DA301F"/>
    <w:rPr>
      <w:color w:val="0563C1" w:themeColor="hyperlink"/>
      <w:u w:val="single"/>
    </w:rPr>
  </w:style>
  <w:style w:type="character" w:customStyle="1" w:styleId="Heading3Char">
    <w:name w:val="Heading 3 Char"/>
    <w:basedOn w:val="DefaultParagraphFont"/>
    <w:link w:val="Heading3"/>
    <w:uiPriority w:val="9"/>
    <w:rsid w:val="007B018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77322">
      <w:bodyDiv w:val="1"/>
      <w:marLeft w:val="0"/>
      <w:marRight w:val="0"/>
      <w:marTop w:val="0"/>
      <w:marBottom w:val="0"/>
      <w:divBdr>
        <w:top w:val="none" w:sz="0" w:space="0" w:color="auto"/>
        <w:left w:val="none" w:sz="0" w:space="0" w:color="auto"/>
        <w:bottom w:val="none" w:sz="0" w:space="0" w:color="auto"/>
        <w:right w:val="none" w:sz="0" w:space="0" w:color="auto"/>
      </w:divBdr>
    </w:div>
    <w:div w:id="404884213">
      <w:bodyDiv w:val="1"/>
      <w:marLeft w:val="0"/>
      <w:marRight w:val="0"/>
      <w:marTop w:val="0"/>
      <w:marBottom w:val="0"/>
      <w:divBdr>
        <w:top w:val="none" w:sz="0" w:space="0" w:color="auto"/>
        <w:left w:val="none" w:sz="0" w:space="0" w:color="auto"/>
        <w:bottom w:val="none" w:sz="0" w:space="0" w:color="auto"/>
        <w:right w:val="none" w:sz="0" w:space="0" w:color="auto"/>
      </w:divBdr>
    </w:div>
    <w:div w:id="640580402">
      <w:bodyDiv w:val="1"/>
      <w:marLeft w:val="0"/>
      <w:marRight w:val="0"/>
      <w:marTop w:val="0"/>
      <w:marBottom w:val="0"/>
      <w:divBdr>
        <w:top w:val="none" w:sz="0" w:space="0" w:color="auto"/>
        <w:left w:val="none" w:sz="0" w:space="0" w:color="auto"/>
        <w:bottom w:val="none" w:sz="0" w:space="0" w:color="auto"/>
        <w:right w:val="none" w:sz="0" w:space="0" w:color="auto"/>
      </w:divBdr>
    </w:div>
    <w:div w:id="747653488">
      <w:bodyDiv w:val="1"/>
      <w:marLeft w:val="0"/>
      <w:marRight w:val="0"/>
      <w:marTop w:val="0"/>
      <w:marBottom w:val="0"/>
      <w:divBdr>
        <w:top w:val="none" w:sz="0" w:space="0" w:color="auto"/>
        <w:left w:val="none" w:sz="0" w:space="0" w:color="auto"/>
        <w:bottom w:val="none" w:sz="0" w:space="0" w:color="auto"/>
        <w:right w:val="none" w:sz="0" w:space="0" w:color="auto"/>
      </w:divBdr>
    </w:div>
    <w:div w:id="1086995409">
      <w:bodyDiv w:val="1"/>
      <w:marLeft w:val="0"/>
      <w:marRight w:val="0"/>
      <w:marTop w:val="0"/>
      <w:marBottom w:val="0"/>
      <w:divBdr>
        <w:top w:val="none" w:sz="0" w:space="0" w:color="auto"/>
        <w:left w:val="none" w:sz="0" w:space="0" w:color="auto"/>
        <w:bottom w:val="none" w:sz="0" w:space="0" w:color="auto"/>
        <w:right w:val="none" w:sz="0" w:space="0" w:color="auto"/>
      </w:divBdr>
    </w:div>
    <w:div w:id="192553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8536D70686742B83F16D972B39843" ma:contentTypeVersion="13" ma:contentTypeDescription="Create a new document." ma:contentTypeScope="" ma:versionID="d631ab1f9077dfa1f5de9163f80a4b4d">
  <xsd:schema xmlns:xsd="http://www.w3.org/2001/XMLSchema" xmlns:xs="http://www.w3.org/2001/XMLSchema" xmlns:p="http://schemas.microsoft.com/office/2006/metadata/properties" xmlns:ns3="ad58c026-31fd-4877-b80e-9ef7411943bc" xmlns:ns4="764afa0d-b03f-45a3-b1a7-87f8934a9543" targetNamespace="http://schemas.microsoft.com/office/2006/metadata/properties" ma:root="true" ma:fieldsID="7cbd8e05653d60aac8526077de0223d3" ns3:_="" ns4:_="">
    <xsd:import namespace="ad58c026-31fd-4877-b80e-9ef7411943bc"/>
    <xsd:import namespace="764afa0d-b03f-45a3-b1a7-87f8934a95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8c026-31fd-4877-b80e-9ef7411943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afa0d-b03f-45a3-b1a7-87f8934a95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8479B-0E4C-4A7A-A988-4CFA2255FB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20033A-25D4-49DF-9FF6-351B6349A088}">
  <ds:schemaRefs>
    <ds:schemaRef ds:uri="http://schemas.microsoft.com/sharepoint/v3/contenttype/forms"/>
  </ds:schemaRefs>
</ds:datastoreItem>
</file>

<file path=customXml/itemProps3.xml><?xml version="1.0" encoding="utf-8"?>
<ds:datastoreItem xmlns:ds="http://schemas.openxmlformats.org/officeDocument/2006/customXml" ds:itemID="{4D2488F3-133A-499E-89BA-E5FDC05D7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8c026-31fd-4877-b80e-9ef7411943bc"/>
    <ds:schemaRef ds:uri="764afa0d-b03f-45a3-b1a7-87f8934a9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1DA3F-2FF2-48AE-AF23-52D04FBD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Rasteiro</dc:creator>
  <cp:keywords/>
  <dc:description/>
  <cp:lastModifiedBy>Emma Allan</cp:lastModifiedBy>
  <cp:revision>4</cp:revision>
  <dcterms:created xsi:type="dcterms:W3CDTF">2023-06-13T10:12:00Z</dcterms:created>
  <dcterms:modified xsi:type="dcterms:W3CDTF">2023-06-13T10:58:00Z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0x010100FBD8536D70686742B83F16D972B39843</vt:lpwstr>
  </property>
</Properties>
</file>