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686E" w14:textId="01EF36DA" w:rsidR="00DA301F" w:rsidRPr="005467AE" w:rsidRDefault="006C53F7" w:rsidP="005467AE">
      <w:pPr>
        <w:ind w:left="-567"/>
        <w:jc w:val="center"/>
        <w:rPr>
          <w:rFonts w:cstheme="minorHAnsi"/>
          <w:b/>
          <w:sz w:val="26"/>
          <w:szCs w:val="26"/>
        </w:rPr>
      </w:pPr>
      <w:r w:rsidRPr="00E66833">
        <w:rPr>
          <w:rFonts w:cstheme="minorHAnsi"/>
          <w:b/>
          <w:sz w:val="26"/>
          <w:szCs w:val="26"/>
        </w:rPr>
        <w:t xml:space="preserve">Project Two – Teaching and learning; scaffolding and </w:t>
      </w:r>
      <w:r w:rsidR="00654B3B" w:rsidRPr="00E66833">
        <w:rPr>
          <w:rFonts w:cstheme="minorHAnsi"/>
          <w:b/>
          <w:sz w:val="26"/>
          <w:szCs w:val="26"/>
        </w:rPr>
        <w:t>content.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66833" w:rsidRPr="00E66833" w14:paraId="4C360D28" w14:textId="77777777" w:rsidTr="005D2814">
        <w:tc>
          <w:tcPr>
            <w:tcW w:w="3539" w:type="dxa"/>
            <w:shd w:val="clear" w:color="auto" w:fill="D9D9D9" w:themeFill="background1" w:themeFillShade="D9"/>
          </w:tcPr>
          <w:p w14:paraId="130B6670" w14:textId="77777777" w:rsidR="00E66833" w:rsidRPr="00E66833" w:rsidRDefault="00E66833" w:rsidP="00EE3512">
            <w:pPr>
              <w:rPr>
                <w:rFonts w:cstheme="minorHAnsi"/>
                <w:sz w:val="24"/>
                <w:szCs w:val="24"/>
              </w:rPr>
            </w:pPr>
            <w:r w:rsidRPr="00E66833">
              <w:rPr>
                <w:rFonts w:cstheme="minorHAnsi"/>
                <w:sz w:val="24"/>
                <w:szCs w:val="24"/>
              </w:rPr>
              <w:t>Title of case study/example of best practice</w:t>
            </w:r>
            <w:r w:rsidR="005D281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17" w:type="dxa"/>
          </w:tcPr>
          <w:p w14:paraId="376581EC" w14:textId="730463A9" w:rsidR="00E66833" w:rsidRPr="00E66833" w:rsidRDefault="00C62E64" w:rsidP="00EE35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UCLan Ophthalmic Dispensing Portfolio</w:t>
            </w:r>
          </w:p>
        </w:tc>
      </w:tr>
      <w:tr w:rsidR="00C62E64" w:rsidRPr="00E66833" w14:paraId="059D9EA2" w14:textId="77777777" w:rsidTr="005D2814">
        <w:tc>
          <w:tcPr>
            <w:tcW w:w="3539" w:type="dxa"/>
            <w:shd w:val="clear" w:color="auto" w:fill="D9D9D9" w:themeFill="background1" w:themeFillShade="D9"/>
          </w:tcPr>
          <w:p w14:paraId="71E7155B" w14:textId="77777777" w:rsidR="00C62E64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 Author(s):</w:t>
            </w:r>
          </w:p>
          <w:p w14:paraId="492B2B4F" w14:textId="1595866B" w:rsidR="00C62E64" w:rsidRPr="00E66833" w:rsidRDefault="00C62E64" w:rsidP="00C62E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8295B3B" w14:textId="38879C1B" w:rsidR="00C62E64" w:rsidRPr="00E66833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Peter Black, Haleema Younas</w:t>
            </w:r>
          </w:p>
        </w:tc>
      </w:tr>
      <w:tr w:rsidR="00C62E64" w:rsidRPr="00E66833" w14:paraId="295201ED" w14:textId="77777777" w:rsidTr="005D2814">
        <w:tc>
          <w:tcPr>
            <w:tcW w:w="3539" w:type="dxa"/>
            <w:shd w:val="clear" w:color="auto" w:fill="D9D9D9" w:themeFill="background1" w:themeFillShade="D9"/>
          </w:tcPr>
          <w:p w14:paraId="0ADB692C" w14:textId="77777777" w:rsidR="00C62E64" w:rsidRPr="00E66833" w:rsidRDefault="00C62E64" w:rsidP="00C62E64">
            <w:pPr>
              <w:rPr>
                <w:rFonts w:cstheme="minorHAnsi"/>
                <w:sz w:val="24"/>
                <w:szCs w:val="24"/>
              </w:rPr>
            </w:pPr>
            <w:r w:rsidRPr="00E66833">
              <w:rPr>
                <w:rFonts w:cstheme="minorHAnsi"/>
                <w:sz w:val="24"/>
                <w:szCs w:val="24"/>
              </w:rPr>
              <w:t>Co-authors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17" w:type="dxa"/>
          </w:tcPr>
          <w:p w14:paraId="1E5E78EE" w14:textId="1489FB02" w:rsidR="00C62E64" w:rsidRPr="00E66833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C62E64" w:rsidRPr="00E66833" w14:paraId="6799ABFF" w14:textId="77777777" w:rsidTr="00FC5036">
        <w:tc>
          <w:tcPr>
            <w:tcW w:w="3539" w:type="dxa"/>
            <w:shd w:val="clear" w:color="auto" w:fill="D9D9D9" w:themeFill="background1" w:themeFillShade="D9"/>
          </w:tcPr>
          <w:p w14:paraId="386DDEFB" w14:textId="57DFFCC3" w:rsidR="00C62E64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University:</w:t>
            </w:r>
          </w:p>
        </w:tc>
        <w:tc>
          <w:tcPr>
            <w:tcW w:w="6917" w:type="dxa"/>
            <w:shd w:val="clear" w:color="auto" w:fill="auto"/>
          </w:tcPr>
          <w:p w14:paraId="03F84C74" w14:textId="3A5D54BD" w:rsidR="00C62E64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University of Central Lancashire</w:t>
            </w:r>
          </w:p>
        </w:tc>
      </w:tr>
      <w:tr w:rsidR="00C62E64" w:rsidRPr="00E66833" w14:paraId="63D304D1" w14:textId="77777777" w:rsidTr="00D10FD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A20B52B" w14:textId="4BBE3CFE" w:rsidR="00C62E64" w:rsidRPr="00E66833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Details of the activity undertaken</w:t>
            </w:r>
          </w:p>
        </w:tc>
      </w:tr>
      <w:tr w:rsidR="00C62E64" w:rsidRPr="00E66833" w14:paraId="27E2B539" w14:textId="77777777" w:rsidTr="00D10FDB">
        <w:tc>
          <w:tcPr>
            <w:tcW w:w="10456" w:type="dxa"/>
            <w:gridSpan w:val="2"/>
            <w:shd w:val="clear" w:color="auto" w:fill="auto"/>
          </w:tcPr>
          <w:p w14:paraId="30B842AD" w14:textId="4C6D3B1E" w:rsidR="00C62E64" w:rsidRPr="00E66833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UCLan promotes inter-professional development between ophthalmic dispensing and optometry students. </w:t>
            </w:r>
            <w:r w:rsidR="00654B3B">
              <w:rPr>
                <w:rFonts w:cstheme="minorHAnsi"/>
                <w:sz w:val="24"/>
                <w:szCs w:val="24"/>
              </w:rPr>
              <w:t>Ophthalmic d</w:t>
            </w:r>
            <w:r>
              <w:rPr>
                <w:rFonts w:cstheme="minorHAnsi"/>
                <w:sz w:val="24"/>
                <w:szCs w:val="24"/>
              </w:rPr>
              <w:t xml:space="preserve">ispensing students act as patients for </w:t>
            </w:r>
            <w:r w:rsidR="00654B3B">
              <w:rPr>
                <w:rFonts w:cstheme="minorHAnsi"/>
                <w:sz w:val="24"/>
                <w:szCs w:val="24"/>
              </w:rPr>
              <w:t>eye examinations</w:t>
            </w:r>
            <w:r>
              <w:rPr>
                <w:rFonts w:cstheme="minorHAnsi"/>
                <w:sz w:val="24"/>
                <w:szCs w:val="24"/>
              </w:rPr>
              <w:t xml:space="preserve"> and contact lens fitting.  </w:t>
            </w:r>
            <w:r w:rsidR="00654B3B">
              <w:rPr>
                <w:rFonts w:cstheme="minorHAnsi"/>
                <w:sz w:val="24"/>
                <w:szCs w:val="24"/>
              </w:rPr>
              <w:t>Ophthalmic d</w:t>
            </w:r>
            <w:r>
              <w:rPr>
                <w:rFonts w:cstheme="minorHAnsi"/>
                <w:sz w:val="24"/>
                <w:szCs w:val="24"/>
              </w:rPr>
              <w:t>ispensing students learn the underpinning theoretical knowledge relating to optometric practice which is formatively assessed in discussions immediately prior to their appointment exploring what constitutes a</w:t>
            </w:r>
            <w:r w:rsidR="00654B3B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54B3B">
              <w:rPr>
                <w:rFonts w:cstheme="minorHAnsi"/>
                <w:sz w:val="24"/>
                <w:szCs w:val="24"/>
              </w:rPr>
              <w:t>eye examination</w:t>
            </w:r>
            <w:r>
              <w:rPr>
                <w:rFonts w:cstheme="minorHAnsi"/>
                <w:sz w:val="24"/>
                <w:szCs w:val="24"/>
              </w:rPr>
              <w:t xml:space="preserve"> and how optometrists decide which tests to do / not do. </w:t>
            </w:r>
            <w:r w:rsidR="00654B3B">
              <w:rPr>
                <w:rFonts w:cstheme="minorHAnsi"/>
                <w:sz w:val="24"/>
                <w:szCs w:val="24"/>
              </w:rPr>
              <w:t>Ophthalmic d</w:t>
            </w:r>
            <w:r>
              <w:rPr>
                <w:rFonts w:cstheme="minorHAnsi"/>
                <w:sz w:val="24"/>
                <w:szCs w:val="24"/>
              </w:rPr>
              <w:t xml:space="preserve">ispensing students ask questions from an informed standpoint that can be challenging for optometry students to answer, testing their communication skills.  Afterwards </w:t>
            </w:r>
            <w:r w:rsidR="00654B3B">
              <w:rPr>
                <w:rFonts w:cstheme="minorHAnsi"/>
                <w:sz w:val="24"/>
                <w:szCs w:val="24"/>
              </w:rPr>
              <w:t xml:space="preserve">ophthalmic </w:t>
            </w:r>
            <w:r>
              <w:rPr>
                <w:rFonts w:cstheme="minorHAnsi"/>
                <w:sz w:val="24"/>
                <w:szCs w:val="24"/>
              </w:rPr>
              <w:t xml:space="preserve">dispensing students reflect on their expectations and experiences as a group.  This feedback is collated and delivered later to the optometry students. </w:t>
            </w:r>
          </w:p>
        </w:tc>
      </w:tr>
      <w:tr w:rsidR="00C62E64" w:rsidRPr="00E66833" w14:paraId="5A5A7DCA" w14:textId="77777777" w:rsidTr="00D10FD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F4F2566" w14:textId="3BA28E53" w:rsidR="00C62E64" w:rsidRPr="00E66833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Impact of the activity</w:t>
            </w:r>
          </w:p>
        </w:tc>
      </w:tr>
      <w:tr w:rsidR="00C62E64" w:rsidRPr="00E66833" w14:paraId="324B9B42" w14:textId="77777777" w:rsidTr="00D10FDB">
        <w:tc>
          <w:tcPr>
            <w:tcW w:w="10456" w:type="dxa"/>
            <w:gridSpan w:val="2"/>
            <w:shd w:val="clear" w:color="auto" w:fill="auto"/>
          </w:tcPr>
          <w:p w14:paraId="5005FF91" w14:textId="73596D26" w:rsidR="00C62E64" w:rsidRDefault="00654B3B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Ophthalmic d</w:t>
            </w:r>
            <w:r w:rsidR="00870463">
              <w:rPr>
                <w:rFonts w:cstheme="minorHAnsi"/>
                <w:sz w:val="24"/>
                <w:szCs w:val="24"/>
              </w:rPr>
              <w:t>ispensing students reflected that as patients</w:t>
            </w:r>
            <w:r w:rsidR="00447BDA">
              <w:rPr>
                <w:rFonts w:cstheme="minorHAnsi"/>
                <w:sz w:val="24"/>
                <w:szCs w:val="24"/>
              </w:rPr>
              <w:t xml:space="preserve">, when they compared their experiences, they felt that inconsistent procedures were applied, and some felt that they </w:t>
            </w:r>
            <w:r w:rsidR="00FB4046">
              <w:rPr>
                <w:rFonts w:cstheme="minorHAnsi"/>
                <w:sz w:val="24"/>
                <w:szCs w:val="24"/>
              </w:rPr>
              <w:t xml:space="preserve">did not </w:t>
            </w:r>
            <w:r w:rsidR="00447BDA">
              <w:rPr>
                <w:rFonts w:cstheme="minorHAnsi"/>
                <w:sz w:val="24"/>
                <w:szCs w:val="24"/>
              </w:rPr>
              <w:t>receive</w:t>
            </w:r>
            <w:r w:rsidR="00FB4046">
              <w:rPr>
                <w:rFonts w:cstheme="minorHAnsi"/>
                <w:sz w:val="24"/>
                <w:szCs w:val="24"/>
              </w:rPr>
              <w:t xml:space="preserve"> as thorough a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FB404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eye examination</w:t>
            </w:r>
            <w:r w:rsidR="00447BDA">
              <w:rPr>
                <w:rFonts w:cstheme="minorHAnsi"/>
                <w:sz w:val="24"/>
                <w:szCs w:val="24"/>
              </w:rPr>
              <w:t xml:space="preserve"> </w:t>
            </w:r>
            <w:r w:rsidR="00FB4046">
              <w:rPr>
                <w:rFonts w:cstheme="minorHAnsi"/>
                <w:sz w:val="24"/>
                <w:szCs w:val="24"/>
              </w:rPr>
              <w:t>as others</w:t>
            </w:r>
            <w:r w:rsidR="00965A3A">
              <w:rPr>
                <w:rFonts w:cstheme="minorHAnsi"/>
                <w:sz w:val="24"/>
                <w:szCs w:val="24"/>
              </w:rPr>
              <w:t xml:space="preserve">. Whilst optometry students were able to justify what was clinically necessary </w:t>
            </w:r>
            <w:r w:rsidR="0026508C">
              <w:rPr>
                <w:rFonts w:cstheme="minorHAnsi"/>
                <w:sz w:val="24"/>
                <w:szCs w:val="24"/>
              </w:rPr>
              <w:t xml:space="preserve">based on age and </w:t>
            </w:r>
            <w:r w:rsidR="00E24022">
              <w:rPr>
                <w:rFonts w:cstheme="minorHAnsi"/>
                <w:sz w:val="24"/>
                <w:szCs w:val="24"/>
              </w:rPr>
              <w:t xml:space="preserve">clinical </w:t>
            </w:r>
            <w:r w:rsidR="0026508C">
              <w:rPr>
                <w:rFonts w:cstheme="minorHAnsi"/>
                <w:sz w:val="24"/>
                <w:szCs w:val="24"/>
              </w:rPr>
              <w:t xml:space="preserve">risk </w:t>
            </w:r>
            <w:r>
              <w:rPr>
                <w:rFonts w:cstheme="minorHAnsi"/>
                <w:sz w:val="24"/>
                <w:szCs w:val="24"/>
              </w:rPr>
              <w:t>profile,</w:t>
            </w:r>
            <w:r w:rsidR="0026508C">
              <w:rPr>
                <w:rFonts w:cstheme="minorHAnsi"/>
                <w:sz w:val="24"/>
                <w:szCs w:val="24"/>
              </w:rPr>
              <w:t xml:space="preserve"> </w:t>
            </w:r>
            <w:r w:rsidR="00965A3A">
              <w:rPr>
                <w:rFonts w:cstheme="minorHAnsi"/>
                <w:sz w:val="24"/>
                <w:szCs w:val="24"/>
              </w:rPr>
              <w:t xml:space="preserve">they became aware that in the </w:t>
            </w:r>
            <w:r>
              <w:rPr>
                <w:rFonts w:cstheme="minorHAnsi"/>
                <w:sz w:val="24"/>
                <w:szCs w:val="24"/>
              </w:rPr>
              <w:t>real-world</w:t>
            </w:r>
            <w:r w:rsidR="00965A3A">
              <w:rPr>
                <w:rFonts w:cstheme="minorHAnsi"/>
                <w:sz w:val="24"/>
                <w:szCs w:val="24"/>
              </w:rPr>
              <w:t xml:space="preserve"> patients do </w:t>
            </w:r>
            <w:r w:rsidR="00310EBE">
              <w:rPr>
                <w:rFonts w:cstheme="minorHAnsi"/>
                <w:sz w:val="24"/>
                <w:szCs w:val="24"/>
              </w:rPr>
              <w:t xml:space="preserve">compare experiences and this can lead to difficulties </w:t>
            </w:r>
            <w:r w:rsidR="0026508C">
              <w:rPr>
                <w:rFonts w:cstheme="minorHAnsi"/>
                <w:sz w:val="24"/>
                <w:szCs w:val="24"/>
              </w:rPr>
              <w:t>i</w:t>
            </w:r>
            <w:r w:rsidR="00310EBE">
              <w:rPr>
                <w:rFonts w:cstheme="minorHAnsi"/>
                <w:sz w:val="24"/>
                <w:szCs w:val="24"/>
              </w:rPr>
              <w:t>f, for example</w:t>
            </w:r>
            <w:r w:rsidR="0026508C">
              <w:rPr>
                <w:rFonts w:cstheme="minorHAnsi"/>
                <w:sz w:val="24"/>
                <w:szCs w:val="24"/>
              </w:rPr>
              <w:t xml:space="preserve">, a previous practice </w:t>
            </w:r>
            <w:r w:rsidR="00310EBE">
              <w:rPr>
                <w:rFonts w:cstheme="minorHAnsi"/>
                <w:sz w:val="24"/>
                <w:szCs w:val="24"/>
              </w:rPr>
              <w:t>routinely screened for pressures and fields</w:t>
            </w:r>
            <w:r w:rsidR="008B7D03">
              <w:rPr>
                <w:rFonts w:cstheme="minorHAnsi"/>
                <w:sz w:val="24"/>
                <w:szCs w:val="24"/>
              </w:rPr>
              <w:t>, whereas another practice only conducted these investigations in response to patient history or clinical signs.</w:t>
            </w:r>
          </w:p>
          <w:p w14:paraId="63D9B6ED" w14:textId="4F1E1485" w:rsidR="00C62E64" w:rsidRPr="00FD5E8C" w:rsidRDefault="00C62E64" w:rsidP="00C62E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2E64" w:rsidRPr="00E66833" w14:paraId="3BDAE0A7" w14:textId="77777777" w:rsidTr="00A34E2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34A1380" w14:textId="6F2FC0ED" w:rsidR="00C62E64" w:rsidRDefault="00C62E64" w:rsidP="00C62E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case study relates to the following GOC outcomes:</w:t>
            </w:r>
          </w:p>
        </w:tc>
      </w:tr>
      <w:tr w:rsidR="00C62E64" w:rsidRPr="00E66833" w14:paraId="53EAF7E7" w14:textId="77777777" w:rsidTr="00D10FDB">
        <w:trPr>
          <w:trHeight w:val="2391"/>
        </w:trPr>
        <w:tc>
          <w:tcPr>
            <w:tcW w:w="10456" w:type="dxa"/>
            <w:gridSpan w:val="2"/>
            <w:shd w:val="clear" w:color="auto" w:fill="auto"/>
          </w:tcPr>
          <w:p w14:paraId="787F92E4" w14:textId="5092DF56" w:rsidR="00C62E64" w:rsidRPr="007B018F" w:rsidRDefault="00C62E64" w:rsidP="00C62E64">
            <w:pPr>
              <w:pStyle w:val="Heading3"/>
              <w:rPr>
                <w:rFonts w:asciiTheme="minorHAnsi" w:eastAsiaTheme="minorHAnsi" w:hAnsiTheme="minorHAnsi" w:cstheme="minorHAnsi"/>
                <w:color w:val="auto"/>
              </w:rPr>
            </w:pPr>
            <w:bookmarkStart w:id="0" w:name="_Toc96351079"/>
            <w:r w:rsidRPr="007B018F">
              <w:rPr>
                <w:rFonts w:asciiTheme="minorHAnsi" w:eastAsiaTheme="minorHAnsi" w:hAnsiTheme="minorHAnsi" w:cstheme="minorHAnsi"/>
                <w:color w:val="auto"/>
              </w:rPr>
              <w:t>Outcome 1. Person Centred Care</w:t>
            </w:r>
            <w:r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color w:val="auto"/>
                </w:rPr>
                <w:id w:val="1800716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6D7">
                  <w:rPr>
                    <w:rFonts w:ascii="MS Gothic" w:eastAsia="MS Gothic" w:hAnsi="MS Gothic" w:cstheme="minorHAnsi" w:hint="eastAsia"/>
                    <w:color w:val="auto"/>
                  </w:rPr>
                  <w:t>☒</w:t>
                </w:r>
              </w:sdtContent>
            </w:sdt>
          </w:p>
          <w:p w14:paraId="51332718" w14:textId="52813127" w:rsidR="00C62E64" w:rsidRPr="007B018F" w:rsidRDefault="00C62E64" w:rsidP="00C62E64">
            <w:pPr>
              <w:pStyle w:val="Heading3"/>
              <w:rPr>
                <w:rFonts w:asciiTheme="minorHAnsi" w:eastAsiaTheme="minorHAnsi" w:hAnsiTheme="minorHAnsi" w:cstheme="minorHAnsi"/>
                <w:color w:val="auto"/>
              </w:rPr>
            </w:pPr>
            <w:bookmarkStart w:id="1" w:name="_Toc96351080"/>
            <w:bookmarkEnd w:id="0"/>
            <w:r w:rsidRPr="007B018F">
              <w:rPr>
                <w:rFonts w:asciiTheme="minorHAnsi" w:eastAsiaTheme="minorHAnsi" w:hAnsiTheme="minorHAnsi" w:cstheme="minorHAnsi"/>
                <w:color w:val="auto"/>
              </w:rPr>
              <w:t>Outcome 2. Communication</w:t>
            </w:r>
            <w:r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color w:val="auto"/>
                </w:rPr>
                <w:id w:val="-1933958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57E">
                  <w:rPr>
                    <w:rFonts w:ascii="MS Gothic" w:eastAsia="MS Gothic" w:hAnsi="MS Gothic" w:cstheme="minorHAnsi" w:hint="eastAsia"/>
                    <w:color w:val="auto"/>
                  </w:rPr>
                  <w:t>☒</w:t>
                </w:r>
              </w:sdtContent>
            </w:sdt>
          </w:p>
          <w:p w14:paraId="326F9DB5" w14:textId="72B5B6CB" w:rsidR="00C62E64" w:rsidRPr="007B018F" w:rsidRDefault="00C62E64" w:rsidP="00C62E64">
            <w:pPr>
              <w:pStyle w:val="Heading3"/>
              <w:rPr>
                <w:rFonts w:asciiTheme="minorHAnsi" w:eastAsiaTheme="minorHAnsi" w:hAnsiTheme="minorHAnsi" w:cstheme="minorHAnsi"/>
                <w:color w:val="auto"/>
              </w:rPr>
            </w:pPr>
            <w:bookmarkStart w:id="2" w:name="_Toc96351081"/>
            <w:bookmarkEnd w:id="1"/>
            <w:r w:rsidRPr="007B018F">
              <w:rPr>
                <w:rFonts w:asciiTheme="minorHAnsi" w:eastAsiaTheme="minorHAnsi" w:hAnsiTheme="minorHAnsi" w:cstheme="minorHAnsi"/>
                <w:color w:val="auto"/>
              </w:rPr>
              <w:t>Outcome 3. Clinical Care</w:t>
            </w:r>
            <w:r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color w:val="auto"/>
                </w:rPr>
                <w:id w:val="-13818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  <w:p w14:paraId="7F02085C" w14:textId="0E3DAA89" w:rsidR="00C62E64" w:rsidRPr="007B018F" w:rsidRDefault="00C62E64" w:rsidP="00C62E64">
            <w:pPr>
              <w:pStyle w:val="Heading3"/>
              <w:rPr>
                <w:rFonts w:asciiTheme="minorHAnsi" w:eastAsiaTheme="minorHAnsi" w:hAnsiTheme="minorHAnsi" w:cstheme="minorHAnsi"/>
                <w:color w:val="auto"/>
              </w:rPr>
            </w:pPr>
            <w:bookmarkStart w:id="3" w:name="_Toc96351082"/>
            <w:bookmarkEnd w:id="2"/>
            <w:r w:rsidRPr="007B018F">
              <w:rPr>
                <w:rFonts w:asciiTheme="minorHAnsi" w:eastAsiaTheme="minorHAnsi" w:hAnsiTheme="minorHAnsi" w:cstheme="minorHAnsi"/>
                <w:color w:val="auto"/>
              </w:rPr>
              <w:t>Outcome 4. Ethics and Standards</w:t>
            </w:r>
            <w:r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color w:val="auto"/>
                </w:rPr>
                <w:id w:val="-6382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  <w:p w14:paraId="0C07A8F0" w14:textId="3AFB00A4" w:rsidR="00C62E64" w:rsidRPr="007B018F" w:rsidRDefault="00C62E64" w:rsidP="00C62E64">
            <w:pPr>
              <w:pStyle w:val="Heading3"/>
              <w:rPr>
                <w:rFonts w:asciiTheme="minorHAnsi" w:eastAsiaTheme="minorHAnsi" w:hAnsiTheme="minorHAnsi" w:cstheme="minorHAnsi"/>
                <w:color w:val="auto"/>
              </w:rPr>
            </w:pPr>
            <w:bookmarkStart w:id="4" w:name="_Toc96351083"/>
            <w:bookmarkEnd w:id="3"/>
            <w:r w:rsidRPr="007B018F">
              <w:rPr>
                <w:rFonts w:asciiTheme="minorHAnsi" w:eastAsiaTheme="minorHAnsi" w:hAnsiTheme="minorHAnsi" w:cstheme="minorHAnsi"/>
                <w:color w:val="auto"/>
              </w:rPr>
              <w:t>Outcome 5. Risk</w:t>
            </w:r>
            <w:r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color w:val="auto"/>
                </w:rPr>
                <w:id w:val="11379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  <w:p w14:paraId="1CE8A7E0" w14:textId="028C7BC2" w:rsidR="00C62E64" w:rsidRPr="007B018F" w:rsidRDefault="00C62E64" w:rsidP="00C62E64">
            <w:pPr>
              <w:pStyle w:val="Heading3"/>
              <w:rPr>
                <w:rFonts w:asciiTheme="minorHAnsi" w:eastAsiaTheme="minorHAnsi" w:hAnsiTheme="minorHAnsi" w:cstheme="minorHAnsi"/>
                <w:color w:val="auto"/>
              </w:rPr>
            </w:pPr>
            <w:bookmarkStart w:id="5" w:name="_Toc96351084"/>
            <w:bookmarkEnd w:id="4"/>
            <w:r w:rsidRPr="007B018F">
              <w:rPr>
                <w:rFonts w:asciiTheme="minorHAnsi" w:eastAsiaTheme="minorHAnsi" w:hAnsiTheme="minorHAnsi" w:cstheme="minorHAnsi"/>
                <w:color w:val="auto"/>
              </w:rPr>
              <w:t>Outcome 6. Leadership and Management</w:t>
            </w:r>
            <w:r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color w:val="auto"/>
                </w:rPr>
                <w:id w:val="-60003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  <w:p w14:paraId="61B766AD" w14:textId="468E70A3" w:rsidR="00C62E64" w:rsidRPr="00A35FB5" w:rsidRDefault="00C62E64" w:rsidP="00C62E64">
            <w:pPr>
              <w:pStyle w:val="Heading3"/>
              <w:tabs>
                <w:tab w:val="left" w:pos="3720"/>
              </w:tabs>
              <w:rPr>
                <w:rFonts w:asciiTheme="minorHAnsi" w:eastAsiaTheme="minorHAnsi" w:hAnsiTheme="minorHAnsi" w:cstheme="minorHAnsi"/>
                <w:color w:val="auto"/>
              </w:rPr>
            </w:pPr>
            <w:bookmarkStart w:id="6" w:name="_Toc96351085"/>
            <w:bookmarkEnd w:id="5"/>
            <w:r w:rsidRPr="00A35FB5">
              <w:rPr>
                <w:rFonts w:asciiTheme="minorHAnsi" w:eastAsiaTheme="minorHAnsi" w:hAnsiTheme="minorHAnsi" w:cstheme="minorHAnsi"/>
                <w:color w:val="auto"/>
              </w:rPr>
              <w:t>Outcome 7. Lifelong Learning</w:t>
            </w:r>
            <w:bookmarkEnd w:id="6"/>
            <w:r w:rsidRPr="00A35FB5"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color w:val="auto"/>
                </w:rPr>
                <w:id w:val="1498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Pr="00A35FB5">
              <w:rPr>
                <w:rFonts w:asciiTheme="minorHAnsi" w:eastAsiaTheme="minorHAnsi" w:hAnsiTheme="minorHAnsi" w:cstheme="minorHAnsi"/>
                <w:color w:val="auto"/>
              </w:rPr>
              <w:tab/>
            </w:r>
          </w:p>
        </w:tc>
      </w:tr>
    </w:tbl>
    <w:p w14:paraId="5964B646" w14:textId="77777777" w:rsidR="006C53F7" w:rsidRDefault="006C53F7">
      <w:pPr>
        <w:rPr>
          <w:rFonts w:cstheme="minorHAnsi"/>
          <w:sz w:val="24"/>
          <w:szCs w:val="24"/>
        </w:rPr>
      </w:pPr>
    </w:p>
    <w:p w14:paraId="07B18B57" w14:textId="43E04B8F" w:rsidR="00DA301F" w:rsidRPr="00E66833" w:rsidRDefault="00DA301F">
      <w:pPr>
        <w:rPr>
          <w:rFonts w:cstheme="minorHAnsi"/>
          <w:sz w:val="24"/>
          <w:szCs w:val="24"/>
        </w:rPr>
      </w:pPr>
    </w:p>
    <w:sectPr w:rsidR="00DA301F" w:rsidRPr="00E66833" w:rsidSect="006C53F7">
      <w:headerReference w:type="default" r:id="rId11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3F94" w14:textId="77777777" w:rsidR="004D4816" w:rsidRDefault="004D4816" w:rsidP="005B55BE">
      <w:pPr>
        <w:spacing w:after="0" w:line="240" w:lineRule="auto"/>
      </w:pPr>
      <w:r>
        <w:separator/>
      </w:r>
    </w:p>
  </w:endnote>
  <w:endnote w:type="continuationSeparator" w:id="0">
    <w:p w14:paraId="4B3B2700" w14:textId="77777777" w:rsidR="004D4816" w:rsidRDefault="004D4816" w:rsidP="005B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F3CB" w14:textId="77777777" w:rsidR="004D4816" w:rsidRDefault="004D4816" w:rsidP="005B55BE">
      <w:pPr>
        <w:spacing w:after="0" w:line="240" w:lineRule="auto"/>
      </w:pPr>
      <w:r>
        <w:separator/>
      </w:r>
    </w:p>
  </w:footnote>
  <w:footnote w:type="continuationSeparator" w:id="0">
    <w:p w14:paraId="17AFEF27" w14:textId="77777777" w:rsidR="004D4816" w:rsidRDefault="004D4816" w:rsidP="005B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63BB" w14:textId="77777777" w:rsidR="005B55BE" w:rsidRDefault="005B55BE" w:rsidP="005B55BE">
    <w:pPr>
      <w:pStyle w:val="Header"/>
      <w:tabs>
        <w:tab w:val="clear" w:pos="9026"/>
      </w:tabs>
      <w:ind w:right="-448"/>
    </w:pPr>
    <w:r>
      <w:tab/>
    </w:r>
    <w:r>
      <w:tab/>
      <w:t xml:space="preserve">                                             </w:t>
    </w:r>
    <w:r>
      <w:rPr>
        <w:noProof/>
        <w:lang w:eastAsia="en-GB"/>
      </w:rPr>
      <w:drawing>
        <wp:inline distT="0" distB="0" distL="0" distR="0" wp14:anchorId="3EECE6E6" wp14:editId="2162E23E">
          <wp:extent cx="1933575" cy="841583"/>
          <wp:effectExtent l="0" t="0" r="0" b="0"/>
          <wp:docPr id="13" name="Picture 1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429" cy="84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E40"/>
    <w:multiLevelType w:val="multilevel"/>
    <w:tmpl w:val="B9F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7517A"/>
    <w:multiLevelType w:val="hybridMultilevel"/>
    <w:tmpl w:val="1B18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284"/>
    <w:multiLevelType w:val="hybridMultilevel"/>
    <w:tmpl w:val="EB42E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91318">
    <w:abstractNumId w:val="0"/>
  </w:num>
  <w:num w:numId="2" w16cid:durableId="2000380368">
    <w:abstractNumId w:val="1"/>
  </w:num>
  <w:num w:numId="3" w16cid:durableId="1771658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6C"/>
    <w:rsid w:val="0005057E"/>
    <w:rsid w:val="0005066C"/>
    <w:rsid w:val="00074CE3"/>
    <w:rsid w:val="0007605B"/>
    <w:rsid w:val="001474FB"/>
    <w:rsid w:val="001509B0"/>
    <w:rsid w:val="001C5327"/>
    <w:rsid w:val="001E05F3"/>
    <w:rsid w:val="001E7A02"/>
    <w:rsid w:val="00220B19"/>
    <w:rsid w:val="00232DB3"/>
    <w:rsid w:val="0026508C"/>
    <w:rsid w:val="002831F9"/>
    <w:rsid w:val="003013F1"/>
    <w:rsid w:val="00310EBE"/>
    <w:rsid w:val="00347A10"/>
    <w:rsid w:val="003C7A03"/>
    <w:rsid w:val="00413806"/>
    <w:rsid w:val="00447BDA"/>
    <w:rsid w:val="004616E6"/>
    <w:rsid w:val="00477D9D"/>
    <w:rsid w:val="004D4816"/>
    <w:rsid w:val="00514D5F"/>
    <w:rsid w:val="0053630A"/>
    <w:rsid w:val="005417A7"/>
    <w:rsid w:val="005467AE"/>
    <w:rsid w:val="005640EB"/>
    <w:rsid w:val="0057229E"/>
    <w:rsid w:val="00596FA9"/>
    <w:rsid w:val="005A68C6"/>
    <w:rsid w:val="005B55BE"/>
    <w:rsid w:val="005D1CB0"/>
    <w:rsid w:val="005D2814"/>
    <w:rsid w:val="005F153C"/>
    <w:rsid w:val="00641190"/>
    <w:rsid w:val="00654B3B"/>
    <w:rsid w:val="006C53F7"/>
    <w:rsid w:val="006C651C"/>
    <w:rsid w:val="006F4F81"/>
    <w:rsid w:val="00717D09"/>
    <w:rsid w:val="0074687E"/>
    <w:rsid w:val="007B018F"/>
    <w:rsid w:val="007C1035"/>
    <w:rsid w:val="007D4D68"/>
    <w:rsid w:val="007F65B4"/>
    <w:rsid w:val="008627B9"/>
    <w:rsid w:val="00870463"/>
    <w:rsid w:val="008965CB"/>
    <w:rsid w:val="008A6C54"/>
    <w:rsid w:val="008B7D03"/>
    <w:rsid w:val="00904F87"/>
    <w:rsid w:val="0094220E"/>
    <w:rsid w:val="00962779"/>
    <w:rsid w:val="00965A3A"/>
    <w:rsid w:val="00972ADE"/>
    <w:rsid w:val="009E2DAD"/>
    <w:rsid w:val="00A34E22"/>
    <w:rsid w:val="00A35FB5"/>
    <w:rsid w:val="00A46C6A"/>
    <w:rsid w:val="00B31513"/>
    <w:rsid w:val="00BD3B31"/>
    <w:rsid w:val="00BF509C"/>
    <w:rsid w:val="00C434C8"/>
    <w:rsid w:val="00C6148A"/>
    <w:rsid w:val="00C62E64"/>
    <w:rsid w:val="00C761E6"/>
    <w:rsid w:val="00D10FDB"/>
    <w:rsid w:val="00D856D7"/>
    <w:rsid w:val="00DA301F"/>
    <w:rsid w:val="00DB3B47"/>
    <w:rsid w:val="00E24022"/>
    <w:rsid w:val="00E4604B"/>
    <w:rsid w:val="00E630C8"/>
    <w:rsid w:val="00E66833"/>
    <w:rsid w:val="00E94BA6"/>
    <w:rsid w:val="00EE3512"/>
    <w:rsid w:val="00F073DB"/>
    <w:rsid w:val="00F43C42"/>
    <w:rsid w:val="00FB4046"/>
    <w:rsid w:val="00FC5036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323C06"/>
  <w15:chartTrackingRefBased/>
  <w15:docId w15:val="{A1D0EABE-5449-488E-B6DA-E1AC363D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F7"/>
  </w:style>
  <w:style w:type="paragraph" w:styleId="Heading2">
    <w:name w:val="heading 2"/>
    <w:basedOn w:val="Normal"/>
    <w:link w:val="Heading2Char"/>
    <w:uiPriority w:val="9"/>
    <w:qFormat/>
    <w:rsid w:val="006C5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1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E"/>
  </w:style>
  <w:style w:type="paragraph" w:styleId="Footer">
    <w:name w:val="footer"/>
    <w:basedOn w:val="Normal"/>
    <w:link w:val="FooterChar"/>
    <w:uiPriority w:val="99"/>
    <w:unhideWhenUsed/>
    <w:rsid w:val="005B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E"/>
  </w:style>
  <w:style w:type="paragraph" w:styleId="NormalWeb">
    <w:name w:val="Normal (Web)"/>
    <w:basedOn w:val="Normal"/>
    <w:uiPriority w:val="99"/>
    <w:semiHidden/>
    <w:unhideWhenUsed/>
    <w:rsid w:val="00E6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73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53F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DA301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B01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afa0d-b03f-45a3-b1a7-87f8934a9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536D70686742B83F16D972B39843" ma:contentTypeVersion="14" ma:contentTypeDescription="Create a new document." ma:contentTypeScope="" ma:versionID="60a3146ed6129480f6c08145f53398ad">
  <xsd:schema xmlns:xsd="http://www.w3.org/2001/XMLSchema" xmlns:xs="http://www.w3.org/2001/XMLSchema" xmlns:p="http://schemas.microsoft.com/office/2006/metadata/properties" xmlns:ns3="ad58c026-31fd-4877-b80e-9ef7411943bc" xmlns:ns4="764afa0d-b03f-45a3-b1a7-87f8934a9543" targetNamespace="http://schemas.microsoft.com/office/2006/metadata/properties" ma:root="true" ma:fieldsID="41423f647b04f3f157cda0e39cacd2a8" ns3:_="" ns4:_="">
    <xsd:import namespace="ad58c026-31fd-4877-b80e-9ef7411943bc"/>
    <xsd:import namespace="764afa0d-b03f-45a3-b1a7-87f8934a9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8c026-31fd-4877-b80e-9ef7411943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fa0d-b03f-45a3-b1a7-87f8934a9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8479B-0E4C-4A7A-A988-4CFA2255FB6B}">
  <ds:schemaRefs>
    <ds:schemaRef ds:uri="http://purl.org/dc/elements/1.1/"/>
    <ds:schemaRef ds:uri="http://schemas.microsoft.com/office/2006/metadata/properties"/>
    <ds:schemaRef ds:uri="764afa0d-b03f-45a3-b1a7-87f8934a9543"/>
    <ds:schemaRef ds:uri="ad58c026-31fd-4877-b80e-9ef7411943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20033A-25D4-49DF-9FF6-351B6349A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ADAD8-1E8F-41D8-ADC6-7AC7DA0D5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47B97-848C-45BF-A777-A1680291B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8c026-31fd-4877-b80e-9ef7411943bc"/>
    <ds:schemaRef ds:uri="764afa0d-b03f-45a3-b1a7-87f8934a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Rasteiro</dc:creator>
  <cp:keywords/>
  <dc:description/>
  <cp:lastModifiedBy>Miranda Richardson</cp:lastModifiedBy>
  <cp:revision>2</cp:revision>
  <dcterms:created xsi:type="dcterms:W3CDTF">2023-05-18T12:43:00Z</dcterms:created>
  <dcterms:modified xsi:type="dcterms:W3CDTF">2023-05-18T12:43:00Z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0x010100FBD8536D70686742B83F16D972B39843</vt:lpwstr>
  </property>
</Properties>
</file>