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4742" w14:textId="6631EAEE" w:rsidR="00A670A5" w:rsidRPr="00A670A5" w:rsidRDefault="00A670A5" w:rsidP="00A670A5">
      <w:pPr>
        <w:pStyle w:val="Header"/>
        <w:rPr>
          <w:b/>
          <w:bCs/>
          <w:sz w:val="32"/>
          <w:szCs w:val="32"/>
        </w:rPr>
      </w:pPr>
      <w:r w:rsidRPr="00607B2E">
        <w:rPr>
          <w:b/>
          <w:bCs/>
          <w:sz w:val="32"/>
          <w:szCs w:val="32"/>
        </w:rPr>
        <w:t>Toolkit for developing autonomy in student</w:t>
      </w:r>
      <w:r w:rsidR="004B2474">
        <w:rPr>
          <w:b/>
          <w:bCs/>
          <w:sz w:val="32"/>
          <w:szCs w:val="32"/>
        </w:rPr>
        <w:t xml:space="preserve"> optical professionals</w:t>
      </w:r>
      <w:r w:rsidRPr="00607B2E">
        <w:rPr>
          <w:b/>
          <w:bCs/>
          <w:sz w:val="32"/>
          <w:szCs w:val="32"/>
        </w:rPr>
        <w:t xml:space="preserve">       </w:t>
      </w:r>
    </w:p>
    <w:p w14:paraId="2B673F67" w14:textId="077EBC56" w:rsidR="00A670A5" w:rsidRDefault="00A670A5">
      <w:pPr>
        <w:rPr>
          <w:bCs/>
        </w:rPr>
      </w:pPr>
      <w:r w:rsidRPr="009D3735">
        <w:rPr>
          <w:bCs/>
        </w:rPr>
        <w:t xml:space="preserve">This form </w:t>
      </w:r>
      <w:r w:rsidR="001C4136">
        <w:rPr>
          <w:bCs/>
        </w:rPr>
        <w:t>has been</w:t>
      </w:r>
      <w:r w:rsidRPr="009D3735">
        <w:rPr>
          <w:bCs/>
        </w:rPr>
        <w:t xml:space="preserve"> designed </w:t>
      </w:r>
      <w:r w:rsidR="00831A92">
        <w:rPr>
          <w:bCs/>
        </w:rPr>
        <w:t>to</w:t>
      </w:r>
      <w:r w:rsidRPr="009D3735">
        <w:rPr>
          <w:bCs/>
        </w:rPr>
        <w:t xml:space="preserve"> identify where activities </w:t>
      </w:r>
      <w:r w:rsidR="006B112B">
        <w:rPr>
          <w:bCs/>
        </w:rPr>
        <w:t xml:space="preserve">to encourage learner autonomy </w:t>
      </w:r>
      <w:r w:rsidRPr="009D3735">
        <w:rPr>
          <w:bCs/>
        </w:rPr>
        <w:t>c</w:t>
      </w:r>
      <w:r>
        <w:rPr>
          <w:bCs/>
        </w:rPr>
        <w:t>ould</w:t>
      </w:r>
      <w:r w:rsidRPr="009D3735">
        <w:rPr>
          <w:bCs/>
        </w:rPr>
        <w:t xml:space="preserve"> be </w:t>
      </w:r>
      <w:r w:rsidR="006B112B">
        <w:rPr>
          <w:bCs/>
        </w:rPr>
        <w:t>integrated into new and existing curricula</w:t>
      </w:r>
      <w:r w:rsidRPr="009D3735">
        <w:rPr>
          <w:bCs/>
        </w:rPr>
        <w:t>.</w:t>
      </w:r>
      <w:r w:rsidR="00983615">
        <w:rPr>
          <w:bCs/>
        </w:rPr>
        <w:t xml:space="preserve"> It is divided into types of activity that support different methods </w:t>
      </w:r>
      <w:r w:rsidR="00663578">
        <w:rPr>
          <w:bCs/>
        </w:rPr>
        <w:t xml:space="preserve">(indicated by icon) </w:t>
      </w:r>
      <w:r w:rsidR="00983615">
        <w:rPr>
          <w:bCs/>
        </w:rPr>
        <w:t xml:space="preserve">of </w:t>
      </w:r>
      <w:r w:rsidR="000A41F1">
        <w:rPr>
          <w:bCs/>
        </w:rPr>
        <w:t>developing independent learning</w:t>
      </w:r>
      <w:r w:rsidR="00663578">
        <w:rPr>
          <w:bCs/>
        </w:rPr>
        <w:t xml:space="preserve">.  Further resources for each method can be found on the </w:t>
      </w:r>
      <w:hyperlink r:id="rId11" w:history="1">
        <w:r w:rsidR="00195C66" w:rsidRPr="00276685">
          <w:rPr>
            <w:rStyle w:val="Hyperlink"/>
            <w:bCs/>
          </w:rPr>
          <w:t>SPOKE website</w:t>
        </w:r>
      </w:hyperlink>
      <w:r w:rsidR="00032689">
        <w:rPr>
          <w:bCs/>
        </w:rPr>
        <w:t>.</w:t>
      </w:r>
    </w:p>
    <w:p w14:paraId="4D828CFB" w14:textId="77777777" w:rsidR="006E7077" w:rsidRPr="006E7077" w:rsidRDefault="006E7077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C03F4" w:rsidRPr="00DE1A35" w14:paraId="1692CB86" w14:textId="77777777" w:rsidTr="00B96FB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68DA7E" w14:textId="1C59F63E" w:rsidR="001F138B" w:rsidRPr="00460C82" w:rsidRDefault="0043149C" w:rsidP="00460C82">
            <w:pPr>
              <w:keepNext/>
              <w:rPr>
                <w:b/>
                <w:color w:val="FFFFFF" w:themeColor="background1"/>
                <w:sz w:val="28"/>
                <w:szCs w:val="28"/>
              </w:rPr>
            </w:pPr>
            <w:r w:rsidRPr="00B96FBB">
              <w:rPr>
                <w:b/>
                <w:color w:val="C45911" w:themeColor="accent2" w:themeShade="BF"/>
                <w:sz w:val="28"/>
                <w:szCs w:val="28"/>
              </w:rPr>
              <w:t>Peer-to-peer activities</w:t>
            </w:r>
            <w:r w:rsidR="001F138B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       </w:t>
            </w:r>
            <w:r w:rsidR="00D4335A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</w:t>
            </w:r>
            <w:r w:rsidR="00CF6D5F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  <w:r w:rsidR="00AA7318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460C82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                        </w:t>
            </w:r>
            <w:r w:rsidR="001F138B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000F92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1F138B" w:rsidRPr="00B96FBB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  <w:r w:rsidR="00B95F26"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0DAAF76" wp14:editId="2D1A7217">
                  <wp:extent cx="810770" cy="573025"/>
                  <wp:effectExtent l="152400" t="114300" r="142240" b="151130"/>
                  <wp:docPr id="1713159500" name="Picture 3" descr="A group of people around a light bul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159500" name="Picture 3" descr="A group of people around a light bulb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000F92"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C643842" wp14:editId="32203045">
                  <wp:extent cx="484633" cy="341377"/>
                  <wp:effectExtent l="133350" t="114300" r="144145" b="154305"/>
                  <wp:docPr id="1886184021" name="Picture 17" descr="A yellow and green 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84021" name="Picture 17" descr="A yellow and green icon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3" cy="3413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936BD"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5818E5A" wp14:editId="5FA7580F">
                  <wp:extent cx="810770" cy="573025"/>
                  <wp:effectExtent l="152400" t="114300" r="142240" b="151130"/>
                  <wp:docPr id="1580359798" name="Picture 6" descr="A blue and yellow people holding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359798" name="Picture 6" descr="A blue and yellow people holding hand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000F92"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A87526B" wp14:editId="1A546129">
                  <wp:extent cx="484633" cy="341377"/>
                  <wp:effectExtent l="133350" t="114300" r="144145" b="154305"/>
                  <wp:docPr id="275608654" name="Picture 18" descr="A person reading a book and a group of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08654" name="Picture 18" descr="A person reading a book and a group of peop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3" cy="3413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F4" w:rsidRPr="00DE1A35" w14:paraId="59D650EC" w14:textId="77777777" w:rsidTr="00E50AC7">
        <w:trPr>
          <w:trHeight w:val="113"/>
        </w:trPr>
        <w:tc>
          <w:tcPr>
            <w:tcW w:w="1048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5486C22" w14:textId="4EF7A0E7" w:rsidR="001F3089" w:rsidRPr="00A81B20" w:rsidRDefault="001F138B" w:rsidP="000378B4">
            <w:pPr>
              <w:rPr>
                <w:color w:val="2E74B5" w:themeColor="accent1" w:themeShade="BF"/>
              </w:rPr>
            </w:pPr>
            <w:r w:rsidRPr="00A81B20">
              <w:rPr>
                <w:color w:val="2E74B5" w:themeColor="accent1" w:themeShade="BF"/>
              </w:rPr>
              <w:t xml:space="preserve">Where might </w:t>
            </w:r>
            <w:r w:rsidR="00275977" w:rsidRPr="00A81B20">
              <w:rPr>
                <w:color w:val="2E74B5" w:themeColor="accent1" w:themeShade="BF"/>
              </w:rPr>
              <w:t>you provide opportunities for peer feedback</w:t>
            </w:r>
            <w:r w:rsidR="0047471E" w:rsidRPr="00A81B20">
              <w:rPr>
                <w:color w:val="2E74B5" w:themeColor="accent1" w:themeShade="BF"/>
              </w:rPr>
              <w:t>?</w:t>
            </w:r>
            <w:r w:rsidR="00275977" w:rsidRPr="00A81B20">
              <w:rPr>
                <w:color w:val="2E74B5" w:themeColor="accent1" w:themeShade="BF"/>
              </w:rPr>
              <w:t xml:space="preserve">  </w:t>
            </w:r>
          </w:p>
          <w:p w14:paraId="0DDE4DCE" w14:textId="77777777" w:rsidR="00996348" w:rsidRPr="00DD1454" w:rsidRDefault="00996348" w:rsidP="000378B4"/>
          <w:p w14:paraId="6DA5C55A" w14:textId="77777777" w:rsidR="00A12967" w:rsidRDefault="00A12967" w:rsidP="000378B4"/>
          <w:p w14:paraId="7570C5FC" w14:textId="77777777" w:rsidR="00161DAB" w:rsidRDefault="00161DAB" w:rsidP="000378B4"/>
          <w:p w14:paraId="1E23ADFC" w14:textId="6E7494F8" w:rsidR="00A12967" w:rsidRDefault="00A12967" w:rsidP="000378B4"/>
        </w:tc>
      </w:tr>
      <w:tr w:rsidR="00150FA7" w:rsidRPr="00DE1A35" w14:paraId="39152FE7" w14:textId="77777777" w:rsidTr="004B02C5">
        <w:trPr>
          <w:trHeight w:val="269"/>
        </w:trPr>
        <w:tc>
          <w:tcPr>
            <w:tcW w:w="10485" w:type="dxa"/>
            <w:shd w:val="clear" w:color="auto" w:fill="DEEAF6" w:themeFill="accent1" w:themeFillTint="33"/>
          </w:tcPr>
          <w:p w14:paraId="1DDC9C84" w14:textId="2BE6A676" w:rsidR="00FE2911" w:rsidRDefault="00A12967" w:rsidP="000378B4">
            <w:r w:rsidRPr="00DD1454">
              <w:rPr>
                <w:color w:val="2E74B5" w:themeColor="accent1" w:themeShade="BF"/>
              </w:rPr>
              <w:t>Could you encourage engagement with assessment criteria by utilising peer feedback on formative assessment?</w:t>
            </w:r>
          </w:p>
          <w:p w14:paraId="627F1957" w14:textId="77777777" w:rsidR="0083546C" w:rsidRDefault="0083546C" w:rsidP="000378B4"/>
          <w:p w14:paraId="3B2497EF" w14:textId="77777777" w:rsidR="00FE2911" w:rsidRDefault="00FE2911" w:rsidP="000378B4"/>
          <w:p w14:paraId="46B6E9F5" w14:textId="77777777" w:rsidR="00FE2911" w:rsidRDefault="00FE2911" w:rsidP="000378B4"/>
          <w:p w14:paraId="3E8CC2AD" w14:textId="7944F32F" w:rsidR="001F3089" w:rsidRDefault="001F3089" w:rsidP="000378B4"/>
        </w:tc>
      </w:tr>
      <w:tr w:rsidR="00150FA7" w:rsidRPr="00DE1A35" w14:paraId="0DF99F8E" w14:textId="77777777" w:rsidTr="004B02C5">
        <w:trPr>
          <w:trHeight w:val="269"/>
        </w:trPr>
        <w:tc>
          <w:tcPr>
            <w:tcW w:w="10485" w:type="dxa"/>
            <w:shd w:val="clear" w:color="auto" w:fill="DEEAF6" w:themeFill="accent1" w:themeFillTint="33"/>
          </w:tcPr>
          <w:p w14:paraId="1DDD0A89" w14:textId="0CE48EC5" w:rsidR="0083546C" w:rsidRPr="00DD1454" w:rsidRDefault="00A12967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Could peer activities be used to strengthen group cohesion and professional identity?</w:t>
            </w:r>
          </w:p>
          <w:p w14:paraId="7F6079F7" w14:textId="77777777" w:rsidR="00FE2911" w:rsidRDefault="00FE2911" w:rsidP="000378B4"/>
          <w:p w14:paraId="3C47C720" w14:textId="77777777" w:rsidR="00FE2911" w:rsidRDefault="00FE2911" w:rsidP="000378B4"/>
          <w:p w14:paraId="07D83638" w14:textId="77777777" w:rsidR="001F3089" w:rsidRDefault="001F3089" w:rsidP="000378B4"/>
          <w:p w14:paraId="7CDB8E93" w14:textId="105DD8E5" w:rsidR="00FD7F03" w:rsidRDefault="00FD7F03" w:rsidP="000378B4"/>
        </w:tc>
      </w:tr>
      <w:tr w:rsidR="00150FA7" w:rsidRPr="00DE1A35" w14:paraId="68FB5B99" w14:textId="77777777" w:rsidTr="004B02C5">
        <w:trPr>
          <w:trHeight w:val="269"/>
        </w:trPr>
        <w:tc>
          <w:tcPr>
            <w:tcW w:w="10485" w:type="dxa"/>
            <w:shd w:val="clear" w:color="auto" w:fill="DEEAF6" w:themeFill="accent1" w:themeFillTint="33"/>
          </w:tcPr>
          <w:p w14:paraId="7D48255C" w14:textId="0BCC4ECA" w:rsidR="00150FA7" w:rsidRPr="00DD1454" w:rsidRDefault="00CA757B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Can you create an environment of belonging</w:t>
            </w:r>
            <w:r w:rsidR="00663843" w:rsidRPr="00DD1454">
              <w:rPr>
                <w:color w:val="2E74B5" w:themeColor="accent1" w:themeShade="BF"/>
              </w:rPr>
              <w:t xml:space="preserve"> by using year-to-year peer support?</w:t>
            </w:r>
          </w:p>
          <w:p w14:paraId="6E0F617B" w14:textId="77777777" w:rsidR="0083546C" w:rsidRDefault="0083546C" w:rsidP="000378B4">
            <w:pPr>
              <w:pStyle w:val="ListParagraph"/>
            </w:pPr>
          </w:p>
          <w:p w14:paraId="3FC4017F" w14:textId="77777777" w:rsidR="00FE2911" w:rsidRDefault="00FE2911" w:rsidP="000378B4">
            <w:pPr>
              <w:pStyle w:val="ListParagraph"/>
            </w:pPr>
          </w:p>
          <w:p w14:paraId="5BBBC659" w14:textId="77777777" w:rsidR="00FE2911" w:rsidRDefault="00FE2911" w:rsidP="000378B4">
            <w:pPr>
              <w:pStyle w:val="ListParagraph"/>
            </w:pPr>
          </w:p>
          <w:p w14:paraId="3C6AD1B2" w14:textId="28E79D29" w:rsidR="001F3089" w:rsidRDefault="001F3089" w:rsidP="000378B4">
            <w:pPr>
              <w:pStyle w:val="ListParagraph"/>
            </w:pPr>
          </w:p>
        </w:tc>
      </w:tr>
      <w:tr w:rsidR="00EC03F4" w:rsidRPr="00DE1A35" w14:paraId="15F4C647" w14:textId="77777777" w:rsidTr="00DD1454">
        <w:tc>
          <w:tcPr>
            <w:tcW w:w="10485" w:type="dxa"/>
            <w:shd w:val="clear" w:color="auto" w:fill="FBE4D5" w:themeFill="accent2" w:themeFillTint="33"/>
            <w:vAlign w:val="bottom"/>
          </w:tcPr>
          <w:p w14:paraId="0DEB464E" w14:textId="43E3F2FD" w:rsidR="00996348" w:rsidRPr="00BA36EE" w:rsidRDefault="00043FAD" w:rsidP="00BA36EE">
            <w:pPr>
              <w:keepNext/>
              <w:tabs>
                <w:tab w:val="left" w:pos="3265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DD1454">
              <w:rPr>
                <w:b/>
                <w:color w:val="C45911" w:themeColor="accent2" w:themeShade="BF"/>
                <w:sz w:val="28"/>
                <w:szCs w:val="28"/>
              </w:rPr>
              <w:t>Student ownership of the curriculum</w:t>
            </w:r>
            <w:r w:rsidR="00E46A75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  <w:r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460C82">
              <w:rPr>
                <w:b/>
                <w:color w:val="FFFFFF" w:themeColor="background1"/>
                <w:sz w:val="28"/>
                <w:szCs w:val="28"/>
              </w:rPr>
              <w:t xml:space="preserve">                                                  </w:t>
            </w:r>
            <w:r w:rsidR="00BA36EE"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734E66A" wp14:editId="5507A805">
                  <wp:extent cx="810770" cy="573025"/>
                  <wp:effectExtent l="152400" t="114300" r="142240" b="151130"/>
                  <wp:docPr id="1161489076" name="Picture 4" descr="A group of people around a light bul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89076" name="Picture 4" descr="A group of people around a light bulb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1B53DBD" wp14:editId="771B6843">
                  <wp:extent cx="810770" cy="573025"/>
                  <wp:effectExtent l="152400" t="114300" r="142240" b="151130"/>
                  <wp:docPr id="323225064" name="Picture 1" descr="A yellow and green picture frame with a person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25064" name="Picture 1" descr="A yellow and green picture frame with a person in the midd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B5F8169" wp14:editId="71FA1062">
                  <wp:extent cx="810770" cy="573025"/>
                  <wp:effectExtent l="152400" t="114300" r="142240" b="151130"/>
                  <wp:docPr id="419530081" name="Picture 7" descr="A blue and yellow people holding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30081" name="Picture 7" descr="A blue and yellow people holding hand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8A5409D" wp14:editId="0922E268">
                  <wp:extent cx="484633" cy="341377"/>
                  <wp:effectExtent l="133350" t="114300" r="144145" b="154305"/>
                  <wp:docPr id="688115422" name="Picture 14" descr="A person reading a book and a group of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15422" name="Picture 14" descr="A person reading a book and a group of peop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3" cy="3413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46A75">
              <w:rPr>
                <w:b/>
                <w:color w:val="FFFFFF" w:themeColor="background1"/>
                <w:sz w:val="28"/>
                <w:szCs w:val="28"/>
              </w:rPr>
              <w:t xml:space="preserve">                                                </w:t>
            </w:r>
            <w:r w:rsidR="00CF6D5F">
              <w:rPr>
                <w:b/>
                <w:color w:val="FFFFFF" w:themeColor="background1"/>
                <w:sz w:val="28"/>
                <w:szCs w:val="28"/>
              </w:rPr>
              <w:t xml:space="preserve">                </w:t>
            </w:r>
            <w:r w:rsidR="00996348" w:rsidRPr="0099634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718E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3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D408C">
              <w:rPr>
                <w:b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C03F4" w:rsidRPr="00BF4F26" w14:paraId="15C82607" w14:textId="77777777" w:rsidTr="00DD1454">
        <w:trPr>
          <w:cantSplit/>
          <w:trHeight w:val="255"/>
        </w:trPr>
        <w:tc>
          <w:tcPr>
            <w:tcW w:w="10485" w:type="dxa"/>
            <w:shd w:val="clear" w:color="auto" w:fill="DEEAF6" w:themeFill="accent1" w:themeFillTint="33"/>
          </w:tcPr>
          <w:p w14:paraId="17734CBF" w14:textId="1AD26CA8" w:rsidR="00150FA7" w:rsidRPr="00DD1454" w:rsidRDefault="00B92C5A" w:rsidP="000378B4">
            <w:pPr>
              <w:rPr>
                <w:iCs/>
                <w:color w:val="2E74B5" w:themeColor="accent1" w:themeShade="BF"/>
              </w:rPr>
            </w:pPr>
            <w:r w:rsidRPr="00DD1454">
              <w:rPr>
                <w:iCs/>
                <w:color w:val="2E74B5" w:themeColor="accent1" w:themeShade="BF"/>
              </w:rPr>
              <w:t xml:space="preserve">Where </w:t>
            </w:r>
            <w:r w:rsidR="00996348" w:rsidRPr="00DD1454">
              <w:rPr>
                <w:iCs/>
                <w:color w:val="2E74B5" w:themeColor="accent1" w:themeShade="BF"/>
              </w:rPr>
              <w:t>could</w:t>
            </w:r>
            <w:r w:rsidRPr="00DD1454">
              <w:rPr>
                <w:iCs/>
                <w:color w:val="2E74B5" w:themeColor="accent1" w:themeShade="BF"/>
              </w:rPr>
              <w:t xml:space="preserve"> you </w:t>
            </w:r>
            <w:r w:rsidR="0026206C" w:rsidRPr="00DD1454">
              <w:rPr>
                <w:iCs/>
                <w:color w:val="2E74B5" w:themeColor="accent1" w:themeShade="BF"/>
              </w:rPr>
              <w:t>deploy</w:t>
            </w:r>
            <w:r w:rsidRPr="00DD1454">
              <w:rPr>
                <w:iCs/>
                <w:color w:val="2E74B5" w:themeColor="accent1" w:themeShade="BF"/>
              </w:rPr>
              <w:t xml:space="preserve"> opportunities for student-led, rather than tutor-led</w:t>
            </w:r>
            <w:r w:rsidR="00996348" w:rsidRPr="00DD1454">
              <w:rPr>
                <w:iCs/>
                <w:color w:val="2E74B5" w:themeColor="accent1" w:themeShade="BF"/>
              </w:rPr>
              <w:t>, sessions</w:t>
            </w:r>
            <w:r w:rsidRPr="00DD1454">
              <w:rPr>
                <w:iCs/>
                <w:color w:val="2E74B5" w:themeColor="accent1" w:themeShade="BF"/>
              </w:rPr>
              <w:t>?</w:t>
            </w:r>
            <w:r w:rsidR="00996348" w:rsidRPr="00DD1454">
              <w:rPr>
                <w:iCs/>
                <w:color w:val="2E74B5" w:themeColor="accent1" w:themeShade="BF"/>
              </w:rPr>
              <w:t xml:space="preserve">  Are there an</w:t>
            </w:r>
            <w:r w:rsidR="0026206C" w:rsidRPr="00DD1454">
              <w:rPr>
                <w:iCs/>
                <w:color w:val="2E74B5" w:themeColor="accent1" w:themeShade="BF"/>
              </w:rPr>
              <w:t>y</w:t>
            </w:r>
            <w:r w:rsidR="00996348" w:rsidRPr="00DD1454">
              <w:rPr>
                <w:iCs/>
                <w:color w:val="2E74B5" w:themeColor="accent1" w:themeShade="BF"/>
              </w:rPr>
              <w:t xml:space="preserve"> flipped curriculum activities where </w:t>
            </w:r>
            <w:r w:rsidR="0026206C" w:rsidRPr="00DD1454">
              <w:rPr>
                <w:iCs/>
                <w:color w:val="2E74B5" w:themeColor="accent1" w:themeShade="BF"/>
              </w:rPr>
              <w:t xml:space="preserve">the scheduled sessions could include student </w:t>
            </w:r>
            <w:r w:rsidR="003F42E4" w:rsidRPr="00DD1454">
              <w:rPr>
                <w:iCs/>
                <w:color w:val="2E74B5" w:themeColor="accent1" w:themeShade="BF"/>
              </w:rPr>
              <w:t>presentation of material, or workshops?</w:t>
            </w:r>
          </w:p>
          <w:p w14:paraId="16BEF010" w14:textId="77777777" w:rsidR="00F06834" w:rsidRPr="0083546C" w:rsidRDefault="00F06834" w:rsidP="000378B4">
            <w:pPr>
              <w:pStyle w:val="ListParagraph"/>
              <w:rPr>
                <w:iCs/>
              </w:rPr>
            </w:pPr>
          </w:p>
          <w:p w14:paraId="506E0621" w14:textId="77777777" w:rsidR="0083546C" w:rsidRDefault="0083546C" w:rsidP="000378B4">
            <w:pPr>
              <w:rPr>
                <w:iCs/>
              </w:rPr>
            </w:pPr>
          </w:p>
          <w:p w14:paraId="2376E9E4" w14:textId="77777777" w:rsidR="00FE2911" w:rsidRDefault="00FE2911" w:rsidP="000378B4">
            <w:pPr>
              <w:rPr>
                <w:iCs/>
              </w:rPr>
            </w:pPr>
          </w:p>
          <w:p w14:paraId="6A673E26" w14:textId="45F0790E" w:rsidR="001F3089" w:rsidRPr="0083546C" w:rsidRDefault="001F3089" w:rsidP="000378B4">
            <w:pPr>
              <w:rPr>
                <w:iCs/>
              </w:rPr>
            </w:pPr>
          </w:p>
        </w:tc>
      </w:tr>
      <w:tr w:rsidR="00150FA7" w:rsidRPr="00BF4F26" w14:paraId="5A54F426" w14:textId="77777777" w:rsidTr="00DD1454">
        <w:trPr>
          <w:cantSplit/>
          <w:trHeight w:val="253"/>
        </w:trPr>
        <w:tc>
          <w:tcPr>
            <w:tcW w:w="10485" w:type="dxa"/>
            <w:shd w:val="clear" w:color="auto" w:fill="DEEAF6" w:themeFill="accent1" w:themeFillTint="33"/>
          </w:tcPr>
          <w:p w14:paraId="46D918F3" w14:textId="1E64C4B8" w:rsidR="00150FA7" w:rsidRPr="00DD1454" w:rsidRDefault="003F42E4" w:rsidP="000378B4">
            <w:pPr>
              <w:rPr>
                <w:iCs/>
                <w:color w:val="2E74B5" w:themeColor="accent1" w:themeShade="BF"/>
              </w:rPr>
            </w:pPr>
            <w:r w:rsidRPr="00DD1454">
              <w:rPr>
                <w:iCs/>
                <w:color w:val="2E74B5" w:themeColor="accent1" w:themeShade="BF"/>
              </w:rPr>
              <w:t xml:space="preserve">How do you engage </w:t>
            </w:r>
            <w:r w:rsidR="005E4A31" w:rsidRPr="00DD1454">
              <w:rPr>
                <w:iCs/>
                <w:color w:val="2E74B5" w:themeColor="accent1" w:themeShade="BF"/>
              </w:rPr>
              <w:t>past students/</w:t>
            </w:r>
            <w:r w:rsidR="00FC7EFF" w:rsidRPr="00DD1454">
              <w:rPr>
                <w:iCs/>
                <w:color w:val="2E74B5" w:themeColor="accent1" w:themeShade="BF"/>
              </w:rPr>
              <w:t xml:space="preserve">existing students/a </w:t>
            </w:r>
            <w:r w:rsidR="005E4A31" w:rsidRPr="00DD1454">
              <w:rPr>
                <w:iCs/>
                <w:color w:val="2E74B5" w:themeColor="accent1" w:themeShade="BF"/>
              </w:rPr>
              <w:t xml:space="preserve">student </w:t>
            </w:r>
            <w:r w:rsidR="00A474FC" w:rsidRPr="00DD1454">
              <w:rPr>
                <w:iCs/>
                <w:color w:val="2E74B5" w:themeColor="accent1" w:themeShade="BF"/>
              </w:rPr>
              <w:t xml:space="preserve">panel </w:t>
            </w:r>
            <w:r w:rsidR="00402AA1" w:rsidRPr="00DD1454">
              <w:rPr>
                <w:iCs/>
                <w:color w:val="2E74B5" w:themeColor="accent1" w:themeShade="BF"/>
              </w:rPr>
              <w:t>in</w:t>
            </w:r>
            <w:r w:rsidR="00A474FC" w:rsidRPr="00DD1454">
              <w:rPr>
                <w:iCs/>
                <w:color w:val="2E74B5" w:themeColor="accent1" w:themeShade="BF"/>
              </w:rPr>
              <w:t xml:space="preserve"> curriculum design?</w:t>
            </w:r>
            <w:r w:rsidR="00146CA9" w:rsidRPr="00DD1454">
              <w:rPr>
                <w:iCs/>
                <w:color w:val="2E74B5" w:themeColor="accent1" w:themeShade="BF"/>
              </w:rPr>
              <w:t xml:space="preserve"> Can this be widened to include the whole cohort?</w:t>
            </w:r>
            <w:r w:rsidR="00402AA1" w:rsidRPr="00DD1454">
              <w:rPr>
                <w:iCs/>
                <w:color w:val="2E74B5" w:themeColor="accent1" w:themeShade="BF"/>
              </w:rPr>
              <w:t xml:space="preserve">  </w:t>
            </w:r>
          </w:p>
          <w:p w14:paraId="6FD828B6" w14:textId="77777777" w:rsidR="00150FA7" w:rsidRDefault="00150FA7" w:rsidP="000378B4">
            <w:pPr>
              <w:rPr>
                <w:iCs/>
              </w:rPr>
            </w:pPr>
          </w:p>
          <w:p w14:paraId="2E97F168" w14:textId="77777777" w:rsidR="00FE2911" w:rsidRDefault="00FE2911" w:rsidP="000378B4">
            <w:pPr>
              <w:rPr>
                <w:iCs/>
              </w:rPr>
            </w:pPr>
          </w:p>
          <w:p w14:paraId="24113FC9" w14:textId="77777777" w:rsidR="00FD7F03" w:rsidRDefault="00FD7F03" w:rsidP="000378B4">
            <w:pPr>
              <w:rPr>
                <w:iCs/>
              </w:rPr>
            </w:pPr>
          </w:p>
          <w:p w14:paraId="3A834E05" w14:textId="77777777" w:rsidR="00FE2911" w:rsidRPr="00150FA7" w:rsidRDefault="00FE2911" w:rsidP="000378B4">
            <w:pPr>
              <w:rPr>
                <w:iCs/>
              </w:rPr>
            </w:pPr>
          </w:p>
        </w:tc>
      </w:tr>
      <w:tr w:rsidR="00150FA7" w:rsidRPr="00BF4F26" w14:paraId="664C9138" w14:textId="77777777" w:rsidTr="00DD1454">
        <w:trPr>
          <w:cantSplit/>
          <w:trHeight w:val="253"/>
        </w:trPr>
        <w:tc>
          <w:tcPr>
            <w:tcW w:w="10485" w:type="dxa"/>
            <w:shd w:val="clear" w:color="auto" w:fill="DEEAF6" w:themeFill="accent1" w:themeFillTint="33"/>
          </w:tcPr>
          <w:p w14:paraId="1CBEEB1D" w14:textId="254853E9" w:rsidR="00150FA7" w:rsidRPr="00DD1454" w:rsidRDefault="001F5BC8" w:rsidP="000378B4">
            <w:pPr>
              <w:rPr>
                <w:iCs/>
                <w:color w:val="2E74B5" w:themeColor="accent1" w:themeShade="BF"/>
              </w:rPr>
            </w:pPr>
            <w:r w:rsidRPr="00DD1454">
              <w:rPr>
                <w:iCs/>
                <w:color w:val="2E74B5" w:themeColor="accent1" w:themeShade="BF"/>
              </w:rPr>
              <w:lastRenderedPageBreak/>
              <w:t>Are there class activities that would allow students to collaborate</w:t>
            </w:r>
            <w:r w:rsidR="00A12967" w:rsidRPr="00DD1454">
              <w:rPr>
                <w:iCs/>
                <w:color w:val="2E74B5" w:themeColor="accent1" w:themeShade="BF"/>
              </w:rPr>
              <w:t xml:space="preserve"> in</w:t>
            </w:r>
            <w:r w:rsidRPr="00DD1454">
              <w:rPr>
                <w:iCs/>
                <w:color w:val="2E74B5" w:themeColor="accent1" w:themeShade="BF"/>
              </w:rPr>
              <w:t xml:space="preserve"> shap</w:t>
            </w:r>
            <w:r w:rsidR="00A12967" w:rsidRPr="00DD1454">
              <w:rPr>
                <w:iCs/>
                <w:color w:val="2E74B5" w:themeColor="accent1" w:themeShade="BF"/>
              </w:rPr>
              <w:t>ing</w:t>
            </w:r>
            <w:r w:rsidRPr="00DD1454">
              <w:rPr>
                <w:iCs/>
                <w:color w:val="2E74B5" w:themeColor="accent1" w:themeShade="BF"/>
              </w:rPr>
              <w:t xml:space="preserve"> the nature of assessments?</w:t>
            </w:r>
          </w:p>
          <w:p w14:paraId="3B6BF11E" w14:textId="77777777" w:rsidR="00150FA7" w:rsidRDefault="00150FA7" w:rsidP="000378B4">
            <w:pPr>
              <w:rPr>
                <w:iCs/>
              </w:rPr>
            </w:pPr>
          </w:p>
          <w:p w14:paraId="2CF6A108" w14:textId="77777777" w:rsidR="00FE2911" w:rsidRDefault="00FE2911" w:rsidP="000378B4">
            <w:pPr>
              <w:rPr>
                <w:iCs/>
              </w:rPr>
            </w:pPr>
          </w:p>
          <w:p w14:paraId="6682949B" w14:textId="77777777" w:rsidR="00FE2911" w:rsidRDefault="00FE2911" w:rsidP="000378B4">
            <w:pPr>
              <w:rPr>
                <w:iCs/>
              </w:rPr>
            </w:pPr>
          </w:p>
          <w:p w14:paraId="082749F3" w14:textId="77777777" w:rsidR="001F3089" w:rsidRPr="00150FA7" w:rsidRDefault="001F3089" w:rsidP="000378B4">
            <w:pPr>
              <w:rPr>
                <w:iCs/>
              </w:rPr>
            </w:pPr>
          </w:p>
        </w:tc>
      </w:tr>
      <w:tr w:rsidR="00EC03F4" w:rsidRPr="003471D7" w14:paraId="32DCBAB0" w14:textId="77777777" w:rsidTr="00DD1454">
        <w:tc>
          <w:tcPr>
            <w:tcW w:w="10485" w:type="dxa"/>
            <w:shd w:val="clear" w:color="auto" w:fill="FBE4D5" w:themeFill="accent2" w:themeFillTint="33"/>
          </w:tcPr>
          <w:p w14:paraId="3A679570" w14:textId="059BB2B0" w:rsidR="00C54B73" w:rsidRPr="00460C82" w:rsidRDefault="005E02FD" w:rsidP="000378B4">
            <w:pPr>
              <w:keepNext/>
              <w:rPr>
                <w:b/>
                <w:bCs/>
                <w:iCs/>
                <w:noProof/>
                <w:sz w:val="24"/>
                <w:szCs w:val="24"/>
              </w:rPr>
            </w:pPr>
            <w:r w:rsidRPr="00DD1454">
              <w:rPr>
                <w:b/>
                <w:color w:val="C45911" w:themeColor="accent2" w:themeShade="BF"/>
                <w:sz w:val="28"/>
                <w:szCs w:val="28"/>
              </w:rPr>
              <w:t>Failing successfully</w:t>
            </w:r>
            <w:r w:rsidR="00CB1C90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  <w:r w:rsidR="00B1745B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C54B73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        </w:t>
            </w:r>
            <w:r w:rsidR="00E05011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  </w:t>
            </w:r>
            <w:r w:rsidR="00C54B73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CF6D5F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</w:t>
            </w:r>
            <w:r w:rsidR="00460C82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                                        </w:t>
            </w:r>
            <w:r w:rsidR="00CF6D5F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  <w:r w:rsidR="000378B4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CF6D5F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  <w:r w:rsidR="00B1745B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587AD5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B95F26">
              <w:rPr>
                <w:b/>
                <w:bCs/>
                <w:i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FB8D568" wp14:editId="55486D44">
                  <wp:extent cx="810770" cy="573025"/>
                  <wp:effectExtent l="152400" t="114300" r="142240" b="151130"/>
                  <wp:docPr id="1286438660" name="Picture 5" descr="A group of people around a light bul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38660" name="Picture 5" descr="A group of people around a light bulb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CC46C1">
              <w:rPr>
                <w:b/>
                <w:bCs/>
                <w:i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1DDEB86" wp14:editId="2050062E">
                  <wp:extent cx="810770" cy="573025"/>
                  <wp:effectExtent l="152400" t="114300" r="142240" b="151130"/>
                  <wp:docPr id="1274100601" name="Picture 2" descr="A yellow and green picture frame with a person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100601" name="Picture 2" descr="A yellow and green picture frame with a person in the midd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936BD">
              <w:rPr>
                <w:b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2501E0F9" wp14:editId="6EC3D3AF">
                  <wp:extent cx="810770" cy="573025"/>
                  <wp:effectExtent l="152400" t="114300" r="142240" b="151130"/>
                  <wp:docPr id="1829247619" name="Picture 8" descr="A blue and yellow people holding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47619" name="Picture 8" descr="A blue and yellow people holding hand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41D18">
              <w:rPr>
                <w:b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2A7015A6" wp14:editId="3C15229C">
                  <wp:extent cx="810770" cy="573025"/>
                  <wp:effectExtent l="152400" t="114300" r="142240" b="151130"/>
                  <wp:docPr id="1417730546" name="Picture 10" descr="A person reading a book and a group of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730546" name="Picture 10" descr="A person reading a book and a group of peop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F4" w:rsidRPr="00A33309" w14:paraId="44568D4F" w14:textId="77777777" w:rsidTr="00DD1454">
        <w:trPr>
          <w:trHeight w:val="280"/>
        </w:trPr>
        <w:tc>
          <w:tcPr>
            <w:tcW w:w="10485" w:type="dxa"/>
            <w:shd w:val="clear" w:color="auto" w:fill="DEEAF6" w:themeFill="accent1" w:themeFillTint="33"/>
          </w:tcPr>
          <w:p w14:paraId="58F2B2F9" w14:textId="129121D0" w:rsidR="00EC03F4" w:rsidRPr="00DD1454" w:rsidRDefault="00AB44FC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What</w:t>
            </w:r>
            <w:r w:rsidR="00BD51E4" w:rsidRPr="00DD1454">
              <w:rPr>
                <w:color w:val="2E74B5" w:themeColor="accent1" w:themeShade="BF"/>
              </w:rPr>
              <w:t xml:space="preserve"> </w:t>
            </w:r>
            <w:r w:rsidR="00B50DE6" w:rsidRPr="00DD1454">
              <w:rPr>
                <w:color w:val="2E74B5" w:themeColor="accent1" w:themeShade="BF"/>
              </w:rPr>
              <w:t>opportunities</w:t>
            </w:r>
            <w:r w:rsidRPr="00DD1454">
              <w:rPr>
                <w:color w:val="2E74B5" w:themeColor="accent1" w:themeShade="BF"/>
              </w:rPr>
              <w:t xml:space="preserve"> are there</w:t>
            </w:r>
            <w:r w:rsidR="00B50DE6" w:rsidRPr="00DD1454">
              <w:rPr>
                <w:color w:val="2E74B5" w:themeColor="accent1" w:themeShade="BF"/>
              </w:rPr>
              <w:t xml:space="preserve"> for </w:t>
            </w:r>
            <w:r w:rsidR="00BD51E4" w:rsidRPr="00DD1454">
              <w:rPr>
                <w:color w:val="2E74B5" w:themeColor="accent1" w:themeShade="BF"/>
              </w:rPr>
              <w:t xml:space="preserve">students to </w:t>
            </w:r>
            <w:r w:rsidR="00B50DE6" w:rsidRPr="00DD1454">
              <w:rPr>
                <w:color w:val="2E74B5" w:themeColor="accent1" w:themeShade="BF"/>
              </w:rPr>
              <w:t>self-reflect</w:t>
            </w:r>
            <w:r w:rsidR="00BD51E4" w:rsidRPr="00DD1454">
              <w:rPr>
                <w:color w:val="2E74B5" w:themeColor="accent1" w:themeShade="BF"/>
              </w:rPr>
              <w:t xml:space="preserve"> and critically evaluate their</w:t>
            </w:r>
            <w:r w:rsidR="00461155" w:rsidRPr="00DD1454">
              <w:rPr>
                <w:color w:val="2E74B5" w:themeColor="accent1" w:themeShade="BF"/>
              </w:rPr>
              <w:t xml:space="preserve"> performance?</w:t>
            </w:r>
          </w:p>
          <w:p w14:paraId="39B1FFE1" w14:textId="77777777" w:rsidR="00EC03F4" w:rsidRDefault="00EC03F4" w:rsidP="000378B4"/>
          <w:p w14:paraId="6488680E" w14:textId="77777777" w:rsidR="00FD7F03" w:rsidRDefault="00FD7F03" w:rsidP="000378B4"/>
          <w:p w14:paraId="7EDAD610" w14:textId="77777777" w:rsidR="001F3089" w:rsidRDefault="001F3089" w:rsidP="000378B4"/>
          <w:p w14:paraId="71C8EDC5" w14:textId="77777777" w:rsidR="001F3089" w:rsidRPr="00A33309" w:rsidRDefault="001F3089" w:rsidP="000378B4"/>
        </w:tc>
      </w:tr>
      <w:tr w:rsidR="00150FA7" w:rsidRPr="00A33309" w14:paraId="5CB95C07" w14:textId="77777777" w:rsidTr="00DD1454">
        <w:trPr>
          <w:trHeight w:val="278"/>
        </w:trPr>
        <w:tc>
          <w:tcPr>
            <w:tcW w:w="10485" w:type="dxa"/>
            <w:shd w:val="clear" w:color="auto" w:fill="DEEAF6" w:themeFill="accent1" w:themeFillTint="33"/>
          </w:tcPr>
          <w:p w14:paraId="571A9A98" w14:textId="509665E3" w:rsidR="00150FA7" w:rsidRPr="00DD1454" w:rsidRDefault="00D07C45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How are students supported to share</w:t>
            </w:r>
            <w:r w:rsidR="00FF741C" w:rsidRPr="00DD1454">
              <w:rPr>
                <w:color w:val="2E74B5" w:themeColor="accent1" w:themeShade="BF"/>
              </w:rPr>
              <w:t>, confident</w:t>
            </w:r>
            <w:r w:rsidR="00F075A4" w:rsidRPr="00DD1454">
              <w:rPr>
                <w:color w:val="2E74B5" w:themeColor="accent1" w:themeShade="BF"/>
              </w:rPr>
              <w:t>ly,</w:t>
            </w:r>
            <w:r w:rsidRPr="00DD1454">
              <w:rPr>
                <w:color w:val="2E74B5" w:themeColor="accent1" w:themeShade="BF"/>
              </w:rPr>
              <w:t xml:space="preserve"> </w:t>
            </w:r>
            <w:r w:rsidR="00FF741C" w:rsidRPr="00DD1454">
              <w:rPr>
                <w:color w:val="2E74B5" w:themeColor="accent1" w:themeShade="BF"/>
              </w:rPr>
              <w:t>what they want to improve about their performance?</w:t>
            </w:r>
          </w:p>
          <w:p w14:paraId="0C2C441E" w14:textId="77777777" w:rsidR="00150FA7" w:rsidRDefault="00150FA7" w:rsidP="000378B4"/>
          <w:p w14:paraId="782E91DC" w14:textId="77777777" w:rsidR="001F3089" w:rsidRDefault="001F3089" w:rsidP="000378B4"/>
          <w:p w14:paraId="3AF225C8" w14:textId="77777777" w:rsidR="001F3089" w:rsidRDefault="001F3089" w:rsidP="000378B4"/>
          <w:p w14:paraId="1702AD27" w14:textId="77777777" w:rsidR="001F3089" w:rsidRDefault="001F3089" w:rsidP="000378B4"/>
        </w:tc>
      </w:tr>
      <w:tr w:rsidR="00150FA7" w:rsidRPr="00A33309" w14:paraId="492BD200" w14:textId="77777777" w:rsidTr="00DD1454">
        <w:trPr>
          <w:trHeight w:val="278"/>
        </w:trPr>
        <w:tc>
          <w:tcPr>
            <w:tcW w:w="10485" w:type="dxa"/>
            <w:shd w:val="clear" w:color="auto" w:fill="DEEAF6" w:themeFill="accent1" w:themeFillTint="33"/>
          </w:tcPr>
          <w:p w14:paraId="32300D72" w14:textId="5750D8A3" w:rsidR="00150FA7" w:rsidRPr="00DD1454" w:rsidRDefault="00060C3D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 xml:space="preserve">Are there opportunities for self and peer review prior to </w:t>
            </w:r>
            <w:r w:rsidR="00582C9E" w:rsidRPr="00DD1454">
              <w:rPr>
                <w:color w:val="2E74B5" w:themeColor="accent1" w:themeShade="BF"/>
              </w:rPr>
              <w:t xml:space="preserve">assessment feedback?  </w:t>
            </w:r>
            <w:r w:rsidR="00BF575A" w:rsidRPr="00DD1454">
              <w:rPr>
                <w:color w:val="2E74B5" w:themeColor="accent1" w:themeShade="BF"/>
              </w:rPr>
              <w:t>How can the two be constructively aligned?</w:t>
            </w:r>
          </w:p>
          <w:p w14:paraId="7646650B" w14:textId="77777777" w:rsidR="00150FA7" w:rsidRDefault="00150FA7" w:rsidP="000378B4"/>
          <w:p w14:paraId="49BF1548" w14:textId="77777777" w:rsidR="001F3089" w:rsidRDefault="001F3089" w:rsidP="000378B4"/>
          <w:p w14:paraId="19475F07" w14:textId="77777777" w:rsidR="001F3089" w:rsidRDefault="001F3089" w:rsidP="000378B4"/>
          <w:p w14:paraId="4E0C4E7C" w14:textId="77777777" w:rsidR="001F3089" w:rsidRDefault="001F3089" w:rsidP="000378B4"/>
        </w:tc>
      </w:tr>
      <w:tr w:rsidR="00150FA7" w:rsidRPr="00A33309" w14:paraId="500D1CF8" w14:textId="77777777" w:rsidTr="00DD1454">
        <w:trPr>
          <w:trHeight w:val="278"/>
        </w:trPr>
        <w:tc>
          <w:tcPr>
            <w:tcW w:w="10485" w:type="dxa"/>
            <w:shd w:val="clear" w:color="auto" w:fill="DEEAF6" w:themeFill="accent1" w:themeFillTint="33"/>
          </w:tcPr>
          <w:p w14:paraId="781D35CE" w14:textId="7A2322B9" w:rsidR="00150FA7" w:rsidRPr="00DD1454" w:rsidRDefault="00BF575A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Are</w:t>
            </w:r>
            <w:r w:rsidR="0024249A" w:rsidRPr="00DD1454">
              <w:rPr>
                <w:color w:val="2E74B5" w:themeColor="accent1" w:themeShade="BF"/>
              </w:rPr>
              <w:t xml:space="preserve"> assessments designed to feed forward, or include tools like “growth mi</w:t>
            </w:r>
            <w:r w:rsidR="00B60721" w:rsidRPr="00DD1454">
              <w:rPr>
                <w:color w:val="2E74B5" w:themeColor="accent1" w:themeShade="BF"/>
              </w:rPr>
              <w:t>n</w:t>
            </w:r>
            <w:r w:rsidR="0024249A" w:rsidRPr="00DD1454">
              <w:rPr>
                <w:color w:val="2E74B5" w:themeColor="accent1" w:themeShade="BF"/>
              </w:rPr>
              <w:t>dsets</w:t>
            </w:r>
            <w:r w:rsidR="008C1ECE" w:rsidRPr="00DD1454">
              <w:rPr>
                <w:color w:val="2E74B5" w:themeColor="accent1" w:themeShade="BF"/>
              </w:rPr>
              <w:t xml:space="preserve">” </w:t>
            </w:r>
            <w:r w:rsidR="006D35DF" w:rsidRPr="00DD1454">
              <w:rPr>
                <w:color w:val="2E74B5" w:themeColor="accent1" w:themeShade="BF"/>
              </w:rPr>
              <w:t>-” You</w:t>
            </w:r>
            <w:r w:rsidR="00B60721" w:rsidRPr="00DD1454">
              <w:rPr>
                <w:color w:val="2E74B5" w:themeColor="accent1" w:themeShade="BF"/>
              </w:rPr>
              <w:t xml:space="preserve"> haven’t achieved this YET, next steps on the journey are…”</w:t>
            </w:r>
            <w:r w:rsidR="00175697" w:rsidRPr="00DD1454">
              <w:rPr>
                <w:color w:val="2E74B5" w:themeColor="accent1" w:themeShade="BF"/>
              </w:rPr>
              <w:t>.</w:t>
            </w:r>
          </w:p>
          <w:p w14:paraId="459BF7D2" w14:textId="77777777" w:rsidR="00150FA7" w:rsidRDefault="00150FA7" w:rsidP="000378B4"/>
          <w:p w14:paraId="2224F3D0" w14:textId="77777777" w:rsidR="001F3089" w:rsidRDefault="001F3089" w:rsidP="000378B4"/>
          <w:p w14:paraId="61C130F3" w14:textId="77777777" w:rsidR="001F3089" w:rsidRDefault="001F3089" w:rsidP="000378B4"/>
          <w:p w14:paraId="31241382" w14:textId="77777777" w:rsidR="001F3089" w:rsidRDefault="001F3089" w:rsidP="000378B4"/>
        </w:tc>
      </w:tr>
      <w:tr w:rsidR="00EC03F4" w:rsidRPr="00756BD9" w14:paraId="60F905C4" w14:textId="77777777" w:rsidTr="00DD1454">
        <w:tc>
          <w:tcPr>
            <w:tcW w:w="10485" w:type="dxa"/>
            <w:shd w:val="clear" w:color="auto" w:fill="FBE4D5" w:themeFill="accent2" w:themeFillTint="33"/>
          </w:tcPr>
          <w:p w14:paraId="4777FB85" w14:textId="5A036A89" w:rsidR="009955DE" w:rsidRPr="00460C82" w:rsidRDefault="00EC03F4" w:rsidP="000378B4">
            <w:pPr>
              <w:keepNext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A1590" w:rsidRPr="00DD1454">
              <w:rPr>
                <w:b/>
                <w:color w:val="C45911" w:themeColor="accent2" w:themeShade="BF"/>
                <w:sz w:val="28"/>
                <w:szCs w:val="28"/>
              </w:rPr>
              <w:t>‘Removing the spoon’</w:t>
            </w:r>
            <w:r w:rsidR="00E05011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         </w:t>
            </w:r>
            <w:r w:rsidR="00CF6D5F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  <w:r w:rsidR="00E05011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  <w:r w:rsidR="00B60721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460C82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                                    </w:t>
            </w:r>
            <w:r w:rsidR="00B60721" w:rsidRPr="00DD1454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C54B73">
              <w:rPr>
                <w:b/>
                <w:bCs/>
                <w:i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3014771" wp14:editId="374FBD6D">
                  <wp:extent cx="484633" cy="341377"/>
                  <wp:effectExtent l="133350" t="114300" r="144145" b="154305"/>
                  <wp:docPr id="1914754892" name="Picture 13" descr="A group of people holding a light bul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54892" name="Picture 13" descr="A group of people holding a light bulb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3" cy="3413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C54B73">
              <w:rPr>
                <w:b/>
                <w:bCs/>
                <w:i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C7FA523" wp14:editId="30F80E77">
                  <wp:extent cx="484633" cy="341377"/>
                  <wp:effectExtent l="133350" t="114300" r="144145" b="154305"/>
                  <wp:docPr id="180880431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804311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3" cy="3413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936BD">
              <w:rPr>
                <w:b/>
                <w:bCs/>
                <w:i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17F9942" wp14:editId="66C940A0">
                  <wp:extent cx="810770" cy="573025"/>
                  <wp:effectExtent l="152400" t="114300" r="142240" b="151130"/>
                  <wp:docPr id="1655656987" name="Picture 9" descr="A blue and yellow people holding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56987" name="Picture 9" descr="A blue and yellow people holding hand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41D18">
              <w:rPr>
                <w:b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7201210C" wp14:editId="070ED514">
                  <wp:extent cx="810770" cy="573025"/>
                  <wp:effectExtent l="152400" t="114300" r="142240" b="151130"/>
                  <wp:docPr id="2099269567" name="Picture 11" descr="A person reading a book and a group of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269567" name="Picture 11" descr="A person reading a book and a group of peop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0" cy="573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F4" w14:paraId="553A66EB" w14:textId="77777777" w:rsidTr="00DD1454">
        <w:trPr>
          <w:trHeight w:val="263"/>
        </w:trPr>
        <w:tc>
          <w:tcPr>
            <w:tcW w:w="10485" w:type="dxa"/>
            <w:shd w:val="clear" w:color="auto" w:fill="DEEAF6" w:themeFill="accent1" w:themeFillTint="33"/>
          </w:tcPr>
          <w:p w14:paraId="7D8F702B" w14:textId="6CBB02E6" w:rsidR="00EC03F4" w:rsidRPr="00DD1454" w:rsidRDefault="0021364A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 xml:space="preserve">How </w:t>
            </w:r>
            <w:r w:rsidR="00DD1131" w:rsidRPr="00DD1454">
              <w:rPr>
                <w:color w:val="2E74B5" w:themeColor="accent1" w:themeShade="BF"/>
              </w:rPr>
              <w:t>do</w:t>
            </w:r>
            <w:r w:rsidRPr="00DD1454">
              <w:rPr>
                <w:color w:val="2E74B5" w:themeColor="accent1" w:themeShade="BF"/>
              </w:rPr>
              <w:t xml:space="preserve"> induction (and pre-induction) </w:t>
            </w:r>
            <w:r w:rsidR="00DD1131" w:rsidRPr="00DD1454">
              <w:rPr>
                <w:color w:val="2E74B5" w:themeColor="accent1" w:themeShade="BF"/>
              </w:rPr>
              <w:t>activities set expectations for the development of professional behaviours and ownership of learning?</w:t>
            </w:r>
          </w:p>
          <w:p w14:paraId="74581189" w14:textId="77777777" w:rsidR="00DD1131" w:rsidRDefault="00DD1131" w:rsidP="000378B4"/>
          <w:p w14:paraId="613FD727" w14:textId="77777777" w:rsidR="001F3089" w:rsidRDefault="001F3089" w:rsidP="000378B4"/>
          <w:p w14:paraId="211B207E" w14:textId="3A1A1DE7" w:rsidR="001F3089" w:rsidRDefault="00B1745B" w:rsidP="000378B4">
            <w:pPr>
              <w:tabs>
                <w:tab w:val="left" w:pos="6023"/>
              </w:tabs>
            </w:pPr>
            <w:r>
              <w:tab/>
            </w:r>
          </w:p>
          <w:p w14:paraId="7641CBF5" w14:textId="77777777" w:rsidR="001F3089" w:rsidRDefault="001F3089" w:rsidP="000378B4"/>
        </w:tc>
      </w:tr>
      <w:tr w:rsidR="0021364A" w14:paraId="11CE1D19" w14:textId="77777777" w:rsidTr="00DD1454">
        <w:trPr>
          <w:trHeight w:val="263"/>
        </w:trPr>
        <w:tc>
          <w:tcPr>
            <w:tcW w:w="10485" w:type="dxa"/>
            <w:shd w:val="clear" w:color="auto" w:fill="DEEAF6" w:themeFill="accent1" w:themeFillTint="33"/>
          </w:tcPr>
          <w:p w14:paraId="17D1DF23" w14:textId="7DECF71C" w:rsidR="0021364A" w:rsidRPr="00DD1454" w:rsidRDefault="0021364A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How are students encouraged to set</w:t>
            </w:r>
            <w:r w:rsidR="002120CB" w:rsidRPr="00DD1454">
              <w:rPr>
                <w:color w:val="2E74B5" w:themeColor="accent1" w:themeShade="BF"/>
              </w:rPr>
              <w:t xml:space="preserve"> their own</w:t>
            </w:r>
            <w:r w:rsidRPr="00DD1454">
              <w:rPr>
                <w:color w:val="2E74B5" w:themeColor="accent1" w:themeShade="BF"/>
              </w:rPr>
              <w:t xml:space="preserve"> learning goals and review these?  </w:t>
            </w:r>
          </w:p>
          <w:p w14:paraId="7505389B" w14:textId="77777777" w:rsidR="0021364A" w:rsidRDefault="0021364A" w:rsidP="000378B4"/>
          <w:p w14:paraId="5B36DEAF" w14:textId="77777777" w:rsidR="0021364A" w:rsidRDefault="0021364A" w:rsidP="000378B4"/>
          <w:p w14:paraId="0814FDEF" w14:textId="77777777" w:rsidR="0021364A" w:rsidRDefault="0021364A" w:rsidP="000378B4"/>
          <w:p w14:paraId="396FD1BD" w14:textId="77777777" w:rsidR="0021364A" w:rsidRDefault="0021364A" w:rsidP="000378B4"/>
        </w:tc>
      </w:tr>
      <w:tr w:rsidR="00150FA7" w14:paraId="45F8FB55" w14:textId="77777777" w:rsidTr="00DD1454">
        <w:trPr>
          <w:trHeight w:val="263"/>
        </w:trPr>
        <w:tc>
          <w:tcPr>
            <w:tcW w:w="10485" w:type="dxa"/>
            <w:shd w:val="clear" w:color="auto" w:fill="DEEAF6" w:themeFill="accent1" w:themeFillTint="33"/>
          </w:tcPr>
          <w:p w14:paraId="1F296BA5" w14:textId="05C0EC2B" w:rsidR="00150FA7" w:rsidRPr="00DD1454" w:rsidRDefault="00836B03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How are they supported to navigate the curriculum, independently?</w:t>
            </w:r>
          </w:p>
          <w:p w14:paraId="0E26010F" w14:textId="77777777" w:rsidR="00150FA7" w:rsidRDefault="00150FA7" w:rsidP="000378B4"/>
          <w:p w14:paraId="115D45ED" w14:textId="77777777" w:rsidR="001F3089" w:rsidRDefault="001F3089" w:rsidP="000378B4"/>
          <w:p w14:paraId="2094D7B1" w14:textId="77777777" w:rsidR="001F3089" w:rsidRDefault="001F3089" w:rsidP="000378B4"/>
          <w:p w14:paraId="63621CD5" w14:textId="77777777" w:rsidR="001F3089" w:rsidRDefault="001F3089" w:rsidP="000378B4"/>
        </w:tc>
      </w:tr>
      <w:tr w:rsidR="00150FA7" w14:paraId="484A2115" w14:textId="77777777" w:rsidTr="00DD1454">
        <w:trPr>
          <w:trHeight w:val="263"/>
        </w:trPr>
        <w:tc>
          <w:tcPr>
            <w:tcW w:w="10485" w:type="dxa"/>
            <w:shd w:val="clear" w:color="auto" w:fill="DEEAF6" w:themeFill="accent1" w:themeFillTint="33"/>
          </w:tcPr>
          <w:p w14:paraId="1A601259" w14:textId="77777777" w:rsidR="0021364A" w:rsidRPr="00DD1454" w:rsidRDefault="00836B03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lastRenderedPageBreak/>
              <w:t xml:space="preserve">What </w:t>
            </w:r>
            <w:r w:rsidR="00B022CB" w:rsidRPr="00DD1454">
              <w:rPr>
                <w:color w:val="2E74B5" w:themeColor="accent1" w:themeShade="BF"/>
              </w:rPr>
              <w:t xml:space="preserve">generic learning skills might enable earlier progress towards </w:t>
            </w:r>
            <w:r w:rsidR="00F50193" w:rsidRPr="00DD1454">
              <w:rPr>
                <w:color w:val="2E74B5" w:themeColor="accent1" w:themeShade="BF"/>
              </w:rPr>
              <w:t xml:space="preserve">autonomous learning? </w:t>
            </w:r>
          </w:p>
          <w:p w14:paraId="66DD513D" w14:textId="369969B7" w:rsidR="00150FA7" w:rsidRPr="00DD1454" w:rsidRDefault="00F50193" w:rsidP="000378B4">
            <w:pPr>
              <w:rPr>
                <w:color w:val="2E74B5" w:themeColor="accent1" w:themeShade="BF"/>
              </w:rPr>
            </w:pPr>
            <w:r w:rsidRPr="00DD1454">
              <w:rPr>
                <w:color w:val="2E74B5" w:themeColor="accent1" w:themeShade="BF"/>
              </w:rPr>
              <w:t>(</w:t>
            </w:r>
            <w:r w:rsidR="002120CB" w:rsidRPr="00DD1454">
              <w:rPr>
                <w:color w:val="2E74B5" w:themeColor="accent1" w:themeShade="BF"/>
              </w:rPr>
              <w:t>e.g.</w:t>
            </w:r>
            <w:r w:rsidRPr="00DD1454">
              <w:rPr>
                <w:color w:val="2E74B5" w:themeColor="accent1" w:themeShade="BF"/>
              </w:rPr>
              <w:t xml:space="preserve"> information management, revision planning, </w:t>
            </w:r>
            <w:r w:rsidR="002120CB" w:rsidRPr="00DD1454">
              <w:rPr>
                <w:color w:val="2E74B5" w:themeColor="accent1" w:themeShade="BF"/>
              </w:rPr>
              <w:t>self-knowledge</w:t>
            </w:r>
            <w:r w:rsidR="007909CF" w:rsidRPr="00DD1454">
              <w:rPr>
                <w:color w:val="2E74B5" w:themeColor="accent1" w:themeShade="BF"/>
              </w:rPr>
              <w:t xml:space="preserve"> (</w:t>
            </w:r>
            <w:r w:rsidR="002120CB" w:rsidRPr="00DD1454">
              <w:rPr>
                <w:color w:val="2E74B5" w:themeColor="accent1" w:themeShade="BF"/>
              </w:rPr>
              <w:t>e.g.</w:t>
            </w:r>
            <w:r w:rsidR="007909CF" w:rsidRPr="00DD1454">
              <w:rPr>
                <w:color w:val="2E74B5" w:themeColor="accent1" w:themeShade="BF"/>
              </w:rPr>
              <w:t xml:space="preserve"> through Myers-Briggs)</w:t>
            </w:r>
            <w:r w:rsidR="002120CB" w:rsidRPr="00DD1454">
              <w:rPr>
                <w:color w:val="2E74B5" w:themeColor="accent1" w:themeShade="BF"/>
              </w:rPr>
              <w:t>).</w:t>
            </w:r>
          </w:p>
          <w:p w14:paraId="2EFEBF5C" w14:textId="77777777" w:rsidR="00150FA7" w:rsidRDefault="00150FA7" w:rsidP="000378B4"/>
          <w:p w14:paraId="5DB8BB27" w14:textId="77777777" w:rsidR="001F3089" w:rsidRDefault="001F3089" w:rsidP="000378B4"/>
          <w:p w14:paraId="39096599" w14:textId="77777777" w:rsidR="001F3089" w:rsidRDefault="001F3089" w:rsidP="000378B4"/>
          <w:p w14:paraId="7BCED18E" w14:textId="77777777" w:rsidR="001F3089" w:rsidRDefault="001F3089" w:rsidP="000378B4"/>
        </w:tc>
      </w:tr>
    </w:tbl>
    <w:p w14:paraId="57F9C6D1" w14:textId="77777777" w:rsidR="0053630A" w:rsidRDefault="0053630A" w:rsidP="00A13AD6"/>
    <w:sectPr w:rsidR="0053630A" w:rsidSect="00AC409A">
      <w:headerReference w:type="default" r:id="rId1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FDBF" w14:textId="77777777" w:rsidR="00AC409A" w:rsidRDefault="00AC409A" w:rsidP="00EC03F4">
      <w:pPr>
        <w:spacing w:after="0" w:line="240" w:lineRule="auto"/>
      </w:pPr>
      <w:r>
        <w:separator/>
      </w:r>
    </w:p>
  </w:endnote>
  <w:endnote w:type="continuationSeparator" w:id="0">
    <w:p w14:paraId="281BE2E2" w14:textId="77777777" w:rsidR="00AC409A" w:rsidRDefault="00AC409A" w:rsidP="00EC03F4">
      <w:pPr>
        <w:spacing w:after="0" w:line="240" w:lineRule="auto"/>
      </w:pPr>
      <w:r>
        <w:continuationSeparator/>
      </w:r>
    </w:p>
  </w:endnote>
  <w:endnote w:type="continuationNotice" w:id="1">
    <w:p w14:paraId="16943B77" w14:textId="77777777" w:rsidR="00AC409A" w:rsidRDefault="00AC4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BD94" w14:textId="77777777" w:rsidR="00AC409A" w:rsidRDefault="00AC409A" w:rsidP="00EC03F4">
      <w:pPr>
        <w:spacing w:after="0" w:line="240" w:lineRule="auto"/>
      </w:pPr>
      <w:r>
        <w:separator/>
      </w:r>
    </w:p>
  </w:footnote>
  <w:footnote w:type="continuationSeparator" w:id="0">
    <w:p w14:paraId="41FCE72D" w14:textId="77777777" w:rsidR="00AC409A" w:rsidRDefault="00AC409A" w:rsidP="00EC03F4">
      <w:pPr>
        <w:spacing w:after="0" w:line="240" w:lineRule="auto"/>
      </w:pPr>
      <w:r>
        <w:continuationSeparator/>
      </w:r>
    </w:p>
  </w:footnote>
  <w:footnote w:type="continuationNotice" w:id="1">
    <w:p w14:paraId="381B22E8" w14:textId="77777777" w:rsidR="00AC409A" w:rsidRDefault="00AC40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57E2" w14:textId="3301757A" w:rsidR="00607B2E" w:rsidRDefault="00607B2E">
    <w:pPr>
      <w:pStyle w:val="Header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  <w:t xml:space="preserve">                           </w:t>
    </w:r>
  </w:p>
  <w:p w14:paraId="679CFE5B" w14:textId="3A80D63E" w:rsidR="00607B2E" w:rsidRDefault="00A670A5" w:rsidP="00A670A5">
    <w:pPr>
      <w:pStyle w:val="Header"/>
      <w:jc w:val="right"/>
      <w:rPr>
        <w:sz w:val="32"/>
        <w:szCs w:val="32"/>
      </w:rPr>
    </w:pPr>
    <w:r>
      <w:rPr>
        <w:noProof/>
        <w:lang w:eastAsia="en-GB"/>
      </w:rPr>
      <w:drawing>
        <wp:inline distT="0" distB="0" distL="0" distR="0" wp14:anchorId="7BA7D09A" wp14:editId="6FFA9A1B">
          <wp:extent cx="1933575" cy="841583"/>
          <wp:effectExtent l="0" t="0" r="0" b="0"/>
          <wp:docPr id="1537842807" name="Picture 153784280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429" cy="84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F8A7B" w14:textId="5B0326F2" w:rsidR="00EC03F4" w:rsidRPr="00607B2E" w:rsidRDefault="00EC03F4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11BD"/>
    <w:multiLevelType w:val="hybridMultilevel"/>
    <w:tmpl w:val="5EF2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0012"/>
    <w:multiLevelType w:val="hybridMultilevel"/>
    <w:tmpl w:val="8708A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1F0C"/>
    <w:multiLevelType w:val="hybridMultilevel"/>
    <w:tmpl w:val="B88E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417DC"/>
    <w:multiLevelType w:val="hybridMultilevel"/>
    <w:tmpl w:val="F5D6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0B82"/>
    <w:multiLevelType w:val="hybridMultilevel"/>
    <w:tmpl w:val="1FE26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53B"/>
    <w:multiLevelType w:val="hybridMultilevel"/>
    <w:tmpl w:val="C5CA5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F6CE4"/>
    <w:multiLevelType w:val="hybridMultilevel"/>
    <w:tmpl w:val="7EA2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04107">
    <w:abstractNumId w:val="4"/>
  </w:num>
  <w:num w:numId="2" w16cid:durableId="1879462641">
    <w:abstractNumId w:val="0"/>
  </w:num>
  <w:num w:numId="3" w16cid:durableId="582688246">
    <w:abstractNumId w:val="2"/>
  </w:num>
  <w:num w:numId="4" w16cid:durableId="1559784781">
    <w:abstractNumId w:val="6"/>
  </w:num>
  <w:num w:numId="5" w16cid:durableId="1125390327">
    <w:abstractNumId w:val="1"/>
  </w:num>
  <w:num w:numId="6" w16cid:durableId="2075619985">
    <w:abstractNumId w:val="5"/>
  </w:num>
  <w:num w:numId="7" w16cid:durableId="56094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F4"/>
    <w:rsid w:val="00000F92"/>
    <w:rsid w:val="000051CC"/>
    <w:rsid w:val="00032689"/>
    <w:rsid w:val="00033E90"/>
    <w:rsid w:val="000378B4"/>
    <w:rsid w:val="00043FAD"/>
    <w:rsid w:val="00060C3D"/>
    <w:rsid w:val="00091EF9"/>
    <w:rsid w:val="000A41F1"/>
    <w:rsid w:val="00102834"/>
    <w:rsid w:val="00105866"/>
    <w:rsid w:val="00106277"/>
    <w:rsid w:val="00146CA9"/>
    <w:rsid w:val="00150FA7"/>
    <w:rsid w:val="00161496"/>
    <w:rsid w:val="00161DAB"/>
    <w:rsid w:val="00175697"/>
    <w:rsid w:val="00182658"/>
    <w:rsid w:val="00195C66"/>
    <w:rsid w:val="001B16B8"/>
    <w:rsid w:val="001C4136"/>
    <w:rsid w:val="001F138B"/>
    <w:rsid w:val="001F3089"/>
    <w:rsid w:val="001F5BC8"/>
    <w:rsid w:val="002120CB"/>
    <w:rsid w:val="0021364A"/>
    <w:rsid w:val="0024249A"/>
    <w:rsid w:val="00256C1F"/>
    <w:rsid w:val="0026206C"/>
    <w:rsid w:val="00275977"/>
    <w:rsid w:val="00276685"/>
    <w:rsid w:val="00291BE9"/>
    <w:rsid w:val="002D2EAD"/>
    <w:rsid w:val="002D55CF"/>
    <w:rsid w:val="002D68C1"/>
    <w:rsid w:val="0036088E"/>
    <w:rsid w:val="003928DA"/>
    <w:rsid w:val="003E2957"/>
    <w:rsid w:val="003F38BF"/>
    <w:rsid w:val="003F42E4"/>
    <w:rsid w:val="00402AA1"/>
    <w:rsid w:val="0043149C"/>
    <w:rsid w:val="00450EF0"/>
    <w:rsid w:val="00460C82"/>
    <w:rsid w:val="00461155"/>
    <w:rsid w:val="0047471E"/>
    <w:rsid w:val="00485FB5"/>
    <w:rsid w:val="004B02C5"/>
    <w:rsid w:val="004B2474"/>
    <w:rsid w:val="004C3CD1"/>
    <w:rsid w:val="004E6F92"/>
    <w:rsid w:val="0053630A"/>
    <w:rsid w:val="005417A7"/>
    <w:rsid w:val="00541F2F"/>
    <w:rsid w:val="0055113A"/>
    <w:rsid w:val="00582C9E"/>
    <w:rsid w:val="00587AD5"/>
    <w:rsid w:val="005A57D9"/>
    <w:rsid w:val="005D0512"/>
    <w:rsid w:val="005E02FD"/>
    <w:rsid w:val="005E4A31"/>
    <w:rsid w:val="00602A0C"/>
    <w:rsid w:val="00607B2E"/>
    <w:rsid w:val="00620DB1"/>
    <w:rsid w:val="00653F23"/>
    <w:rsid w:val="00663578"/>
    <w:rsid w:val="00663843"/>
    <w:rsid w:val="006B112B"/>
    <w:rsid w:val="006B5DCC"/>
    <w:rsid w:val="006D35DF"/>
    <w:rsid w:val="006E7077"/>
    <w:rsid w:val="00700AC7"/>
    <w:rsid w:val="007043A3"/>
    <w:rsid w:val="0075753E"/>
    <w:rsid w:val="00781A36"/>
    <w:rsid w:val="007909CF"/>
    <w:rsid w:val="007B3572"/>
    <w:rsid w:val="007D7EE3"/>
    <w:rsid w:val="00831A92"/>
    <w:rsid w:val="0083546C"/>
    <w:rsid w:val="00836B03"/>
    <w:rsid w:val="00853278"/>
    <w:rsid w:val="00860FC6"/>
    <w:rsid w:val="008B0570"/>
    <w:rsid w:val="008C1ECE"/>
    <w:rsid w:val="008C41AC"/>
    <w:rsid w:val="008F0386"/>
    <w:rsid w:val="00905FFE"/>
    <w:rsid w:val="00927290"/>
    <w:rsid w:val="009473DB"/>
    <w:rsid w:val="00952956"/>
    <w:rsid w:val="0096113E"/>
    <w:rsid w:val="009718E6"/>
    <w:rsid w:val="0098318F"/>
    <w:rsid w:val="00983615"/>
    <w:rsid w:val="009955DE"/>
    <w:rsid w:val="00996348"/>
    <w:rsid w:val="009D3735"/>
    <w:rsid w:val="00A12967"/>
    <w:rsid w:val="00A13AD6"/>
    <w:rsid w:val="00A15648"/>
    <w:rsid w:val="00A16B80"/>
    <w:rsid w:val="00A31888"/>
    <w:rsid w:val="00A36F4B"/>
    <w:rsid w:val="00A474FC"/>
    <w:rsid w:val="00A670A5"/>
    <w:rsid w:val="00A81B20"/>
    <w:rsid w:val="00AA7318"/>
    <w:rsid w:val="00AB44FC"/>
    <w:rsid w:val="00AC409A"/>
    <w:rsid w:val="00B022CB"/>
    <w:rsid w:val="00B1110B"/>
    <w:rsid w:val="00B1745B"/>
    <w:rsid w:val="00B321F3"/>
    <w:rsid w:val="00B41A1B"/>
    <w:rsid w:val="00B50DE6"/>
    <w:rsid w:val="00B60721"/>
    <w:rsid w:val="00B92C5A"/>
    <w:rsid w:val="00B95F26"/>
    <w:rsid w:val="00B96FBB"/>
    <w:rsid w:val="00BA36EE"/>
    <w:rsid w:val="00BD51E4"/>
    <w:rsid w:val="00BF575A"/>
    <w:rsid w:val="00C00C13"/>
    <w:rsid w:val="00C1657F"/>
    <w:rsid w:val="00C203F0"/>
    <w:rsid w:val="00C214FE"/>
    <w:rsid w:val="00C21C94"/>
    <w:rsid w:val="00C54B73"/>
    <w:rsid w:val="00C96059"/>
    <w:rsid w:val="00CA757B"/>
    <w:rsid w:val="00CB1C90"/>
    <w:rsid w:val="00CB43BB"/>
    <w:rsid w:val="00CC32F5"/>
    <w:rsid w:val="00CC46C1"/>
    <w:rsid w:val="00CF6271"/>
    <w:rsid w:val="00CF6D5F"/>
    <w:rsid w:val="00D07C45"/>
    <w:rsid w:val="00D30502"/>
    <w:rsid w:val="00D4335A"/>
    <w:rsid w:val="00DA1590"/>
    <w:rsid w:val="00DB6A88"/>
    <w:rsid w:val="00DC51AF"/>
    <w:rsid w:val="00DD1131"/>
    <w:rsid w:val="00DD1454"/>
    <w:rsid w:val="00DF4E7B"/>
    <w:rsid w:val="00E05011"/>
    <w:rsid w:val="00E30461"/>
    <w:rsid w:val="00E41D18"/>
    <w:rsid w:val="00E46A75"/>
    <w:rsid w:val="00E50AC7"/>
    <w:rsid w:val="00E718A3"/>
    <w:rsid w:val="00E81962"/>
    <w:rsid w:val="00E84642"/>
    <w:rsid w:val="00E936BD"/>
    <w:rsid w:val="00EC03F4"/>
    <w:rsid w:val="00F06834"/>
    <w:rsid w:val="00F075A4"/>
    <w:rsid w:val="00F25951"/>
    <w:rsid w:val="00F50193"/>
    <w:rsid w:val="00FC75CA"/>
    <w:rsid w:val="00FC7EFF"/>
    <w:rsid w:val="00FD408C"/>
    <w:rsid w:val="00FD7F03"/>
    <w:rsid w:val="00FE2911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7E85"/>
  <w15:chartTrackingRefBased/>
  <w15:docId w15:val="{94255589-04BC-4E57-BB62-432DC3D3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F4"/>
  </w:style>
  <w:style w:type="paragraph" w:styleId="Footer">
    <w:name w:val="footer"/>
    <w:basedOn w:val="Normal"/>
    <w:link w:val="FooterChar"/>
    <w:uiPriority w:val="99"/>
    <w:unhideWhenUsed/>
    <w:rsid w:val="00EC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F4"/>
  </w:style>
  <w:style w:type="table" w:styleId="TableGrid">
    <w:name w:val="Table Grid"/>
    <w:basedOn w:val="TableNormal"/>
    <w:uiPriority w:val="39"/>
    <w:rsid w:val="00EC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ege-optometrists.org/cmsctx/pv/b7ade6bc-ff58-4aff-ab89-7e4eb0ba8a2d/culture/en-US/wg/6505c4b8-6910-4c11-be47-88cab881fbbc/h/2ae7780faf9fcf27b8f0a4fb2269e4361990dfcf7c6c69940ebf72c343f23e34/-/qualifying/sector-partnership-optical-knowledge-education/spoke-projects/developing-independence-in-students?uh=896765fd40e327b38bf6ae85839d39b941b5d3f16d37c0aa4aaab3e8343bfa0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afa0d-b03f-45a3-b1a7-87f8934a95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536D70686742B83F16D972B39843" ma:contentTypeVersion="18" ma:contentTypeDescription="Create a new document." ma:contentTypeScope="" ma:versionID="287d59167c08738b2ef3189a603924be">
  <xsd:schema xmlns:xsd="http://www.w3.org/2001/XMLSchema" xmlns:xs="http://www.w3.org/2001/XMLSchema" xmlns:p="http://schemas.microsoft.com/office/2006/metadata/properties" xmlns:ns3="ad58c026-31fd-4877-b80e-9ef7411943bc" xmlns:ns4="764afa0d-b03f-45a3-b1a7-87f8934a9543" targetNamespace="http://schemas.microsoft.com/office/2006/metadata/properties" ma:root="true" ma:fieldsID="1abce0250c79f3c7819e6289f6a305a3" ns3:_="" ns4:_="">
    <xsd:import namespace="ad58c026-31fd-4877-b80e-9ef7411943bc"/>
    <xsd:import namespace="764afa0d-b03f-45a3-b1a7-87f8934a9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8c026-31fd-4877-b80e-9ef7411943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fa0d-b03f-45a3-b1a7-87f8934a9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59115-5DBD-41BD-8CE1-44A65C81C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47B6A-6506-4257-914C-9D1FD2200F46}">
  <ds:schemaRefs>
    <ds:schemaRef ds:uri="http://schemas.microsoft.com/office/2006/metadata/properties"/>
    <ds:schemaRef ds:uri="http://schemas.microsoft.com/office/infopath/2007/PartnerControls"/>
    <ds:schemaRef ds:uri="764afa0d-b03f-45a3-b1a7-87f8934a9543"/>
  </ds:schemaRefs>
</ds:datastoreItem>
</file>

<file path=customXml/itemProps3.xml><?xml version="1.0" encoding="utf-8"?>
<ds:datastoreItem xmlns:ds="http://schemas.openxmlformats.org/officeDocument/2006/customXml" ds:itemID="{17F20589-F48A-48FC-B9DA-F8155654C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8c026-31fd-4877-b80e-9ef7411943bc"/>
    <ds:schemaRef ds:uri="764afa0d-b03f-45a3-b1a7-87f8934a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ECE96-45CF-4E5B-BA8E-2C793ABDB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3179</CharactersWithSpaces>
  <SharedDoc>false</SharedDoc>
  <HLinks>
    <vt:vector size="6" baseType="variant"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s://www.college-optometrists.org/cmsctx/pv/b7ade6bc-ff58-4aff-ab89-7e4eb0ba8a2d/culture/en-US/wg/6505c4b8-6910-4c11-be47-88cab881fbbc/h/2ae7780faf9fcf27b8f0a4fb2269e4361990dfcf7c6c69940ebf72c343f23e34/-/qualifying/sector-partnership-optical-knowledge-education/spoke-projects/developing-independence-in-students?uh=896765fd40e327b38bf6ae85839d39b941b5d3f16d37c0aa4aaab3e8343bfa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Rasteiro</dc:creator>
  <cp:keywords/>
  <dc:description/>
  <cp:lastModifiedBy>Jennifer Rasteiro</cp:lastModifiedBy>
  <cp:revision>5</cp:revision>
  <dcterms:created xsi:type="dcterms:W3CDTF">2024-03-08T12:22:00Z</dcterms:created>
  <dcterms:modified xsi:type="dcterms:W3CDTF">2024-05-10T10:58:00Z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0x010100FBD8536D70686742B83F16D972B39843</vt:lpwstr>
  </property>
</Properties>
</file>