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EB2C" w14:textId="77777777" w:rsidR="00DD2DF4" w:rsidRDefault="00DD2DF4" w:rsidP="002D3054">
      <w:pPr>
        <w:pStyle w:val="Default"/>
        <w:rPr>
          <w:b/>
          <w:bCs/>
          <w:sz w:val="28"/>
          <w:szCs w:val="28"/>
        </w:rPr>
      </w:pPr>
      <w:r>
        <w:rPr>
          <w:b/>
          <w:noProof/>
          <w:sz w:val="28"/>
          <w:szCs w:val="28"/>
          <w:lang w:eastAsia="en-GB"/>
        </w:rPr>
        <w:drawing>
          <wp:anchor distT="0" distB="0" distL="114300" distR="114300" simplePos="0" relativeHeight="251658752" behindDoc="1" locked="0" layoutInCell="1" allowOverlap="1" wp14:anchorId="164D56F9" wp14:editId="300E51AB">
            <wp:simplePos x="0" y="0"/>
            <wp:positionH relativeFrom="column">
              <wp:posOffset>-161925</wp:posOffset>
            </wp:positionH>
            <wp:positionV relativeFrom="paragraph">
              <wp:posOffset>-728980</wp:posOffset>
            </wp:positionV>
            <wp:extent cx="3057525" cy="742950"/>
            <wp:effectExtent l="19050" t="0" r="9525" b="0"/>
            <wp:wrapNone/>
            <wp:docPr id="2" name="Picture 1" descr="F:\Policy &amp; Strategy\Clinical Council for Eye Health\Logo\CCE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licy &amp; Strategy\Clinical Council for Eye Health\Logo\CCEHC LOGO.jpg"/>
                    <pic:cNvPicPr>
                      <a:picLocks noChangeAspect="1" noChangeArrowheads="1"/>
                    </pic:cNvPicPr>
                  </pic:nvPicPr>
                  <pic:blipFill>
                    <a:blip r:embed="rId7" cstate="print"/>
                    <a:srcRect/>
                    <a:stretch>
                      <a:fillRect/>
                    </a:stretch>
                  </pic:blipFill>
                  <pic:spPr bwMode="auto">
                    <a:xfrm>
                      <a:off x="0" y="0"/>
                      <a:ext cx="3057525" cy="742950"/>
                    </a:xfrm>
                    <a:prstGeom prst="rect">
                      <a:avLst/>
                    </a:prstGeom>
                    <a:noFill/>
                    <a:ln w="9525">
                      <a:noFill/>
                      <a:miter lim="800000"/>
                      <a:headEnd/>
                      <a:tailEnd/>
                    </a:ln>
                  </pic:spPr>
                </pic:pic>
              </a:graphicData>
            </a:graphic>
          </wp:anchor>
        </w:drawing>
      </w:r>
    </w:p>
    <w:p w14:paraId="6817F889" w14:textId="77777777" w:rsidR="002D3054" w:rsidRPr="00D45625" w:rsidRDefault="002D3054" w:rsidP="002D3054">
      <w:pPr>
        <w:pStyle w:val="Default"/>
      </w:pPr>
      <w:r w:rsidRPr="00D45625">
        <w:rPr>
          <w:b/>
          <w:bCs/>
        </w:rPr>
        <w:t xml:space="preserve">Clinical Council for Eye Health Commissioning </w:t>
      </w:r>
    </w:p>
    <w:p w14:paraId="7AA67BDA" w14:textId="77777777" w:rsidR="002D3054" w:rsidRPr="00D45625" w:rsidRDefault="002D3054" w:rsidP="002D3054">
      <w:pPr>
        <w:pStyle w:val="Default"/>
        <w:rPr>
          <w:b/>
          <w:bCs/>
        </w:rPr>
      </w:pPr>
    </w:p>
    <w:p w14:paraId="5FEA6376" w14:textId="705F6240" w:rsidR="002D3054" w:rsidRPr="00D45625" w:rsidRDefault="00F57D2F" w:rsidP="002D3054">
      <w:pPr>
        <w:pStyle w:val="Default"/>
        <w:rPr>
          <w:b/>
          <w:bCs/>
        </w:rPr>
      </w:pPr>
      <w:r w:rsidRPr="00D45625">
        <w:rPr>
          <w:b/>
          <w:bCs/>
        </w:rPr>
        <w:t xml:space="preserve">Terms of </w:t>
      </w:r>
      <w:r w:rsidR="00C8080B" w:rsidRPr="00D45625">
        <w:rPr>
          <w:b/>
          <w:bCs/>
        </w:rPr>
        <w:t>Reference (revised</w:t>
      </w:r>
      <w:r w:rsidRPr="00D45625">
        <w:rPr>
          <w:b/>
          <w:bCs/>
        </w:rPr>
        <w:t xml:space="preserve"> </w:t>
      </w:r>
      <w:r w:rsidR="00CC3A97" w:rsidRPr="00D45625">
        <w:rPr>
          <w:b/>
          <w:bCs/>
        </w:rPr>
        <w:t>November 2022</w:t>
      </w:r>
      <w:r w:rsidR="00C8080B" w:rsidRPr="00D45625">
        <w:rPr>
          <w:b/>
          <w:bCs/>
        </w:rPr>
        <w:t>)</w:t>
      </w:r>
    </w:p>
    <w:p w14:paraId="3DF69D14" w14:textId="77777777" w:rsidR="002D3054" w:rsidRDefault="002D3054" w:rsidP="002D3054">
      <w:pPr>
        <w:pStyle w:val="Default"/>
        <w:rPr>
          <w:b/>
          <w:bCs/>
          <w:sz w:val="23"/>
          <w:szCs w:val="23"/>
        </w:rPr>
      </w:pPr>
    </w:p>
    <w:p w14:paraId="38F4E1BB" w14:textId="77777777" w:rsidR="002D3054" w:rsidRPr="00625C35" w:rsidRDefault="002D3054" w:rsidP="00CC3A97">
      <w:pPr>
        <w:pStyle w:val="Default"/>
        <w:rPr>
          <w:sz w:val="20"/>
          <w:szCs w:val="20"/>
        </w:rPr>
      </w:pPr>
      <w:r w:rsidRPr="00625C35">
        <w:rPr>
          <w:b/>
          <w:bCs/>
          <w:sz w:val="20"/>
          <w:szCs w:val="20"/>
        </w:rPr>
        <w:t xml:space="preserve">Purpose </w:t>
      </w:r>
    </w:p>
    <w:p w14:paraId="25849821" w14:textId="78106C84" w:rsidR="002D3054" w:rsidRPr="00625C35" w:rsidRDefault="002D3054" w:rsidP="00CC3A97">
      <w:pPr>
        <w:pStyle w:val="Default"/>
        <w:rPr>
          <w:sz w:val="20"/>
          <w:szCs w:val="20"/>
        </w:rPr>
      </w:pPr>
      <w:r w:rsidRPr="00625C35">
        <w:rPr>
          <w:sz w:val="20"/>
          <w:szCs w:val="20"/>
        </w:rPr>
        <w:t xml:space="preserve">To </w:t>
      </w:r>
      <w:r w:rsidR="00DD2DF4" w:rsidRPr="00625C35">
        <w:rPr>
          <w:sz w:val="20"/>
          <w:szCs w:val="20"/>
        </w:rPr>
        <w:t xml:space="preserve">provide evidence-based </w:t>
      </w:r>
      <w:r w:rsidRPr="00625C35">
        <w:rPr>
          <w:sz w:val="20"/>
          <w:szCs w:val="20"/>
        </w:rPr>
        <w:t xml:space="preserve">national clinical </w:t>
      </w:r>
      <w:r w:rsidR="00DD2DF4" w:rsidRPr="00625C35">
        <w:rPr>
          <w:sz w:val="20"/>
          <w:szCs w:val="20"/>
        </w:rPr>
        <w:t xml:space="preserve">leadership, advice and guidance to </w:t>
      </w:r>
      <w:proofErr w:type="gramStart"/>
      <w:r w:rsidRPr="00625C35">
        <w:rPr>
          <w:sz w:val="20"/>
          <w:szCs w:val="20"/>
        </w:rPr>
        <w:t>policy-makers</w:t>
      </w:r>
      <w:proofErr w:type="gramEnd"/>
      <w:r w:rsidR="00DD2DF4" w:rsidRPr="00625C35">
        <w:rPr>
          <w:sz w:val="20"/>
          <w:szCs w:val="20"/>
        </w:rPr>
        <w:t xml:space="preserve"> and those commissioning and </w:t>
      </w:r>
      <w:r w:rsidR="00256B95" w:rsidRPr="00625C35">
        <w:rPr>
          <w:sz w:val="20"/>
          <w:szCs w:val="20"/>
        </w:rPr>
        <w:t>providing eye</w:t>
      </w:r>
      <w:r w:rsidRPr="00625C35">
        <w:rPr>
          <w:sz w:val="20"/>
          <w:szCs w:val="20"/>
        </w:rPr>
        <w:t xml:space="preserve"> health </w:t>
      </w:r>
      <w:r w:rsidR="00DD2DF4" w:rsidRPr="00625C35">
        <w:rPr>
          <w:sz w:val="20"/>
          <w:szCs w:val="20"/>
        </w:rPr>
        <w:t>and care services in England</w:t>
      </w:r>
      <w:r w:rsidRPr="00625C35">
        <w:rPr>
          <w:sz w:val="20"/>
          <w:szCs w:val="20"/>
        </w:rPr>
        <w:t xml:space="preserve">. </w:t>
      </w:r>
    </w:p>
    <w:p w14:paraId="6ACCF19E" w14:textId="77777777" w:rsidR="005F5AE7" w:rsidRPr="00625C35" w:rsidRDefault="005F5AE7" w:rsidP="00CC3A97">
      <w:pPr>
        <w:pStyle w:val="Default"/>
        <w:rPr>
          <w:b/>
          <w:bCs/>
          <w:sz w:val="20"/>
          <w:szCs w:val="20"/>
        </w:rPr>
      </w:pPr>
    </w:p>
    <w:p w14:paraId="535E2D1D" w14:textId="01300556" w:rsidR="005F5AE7" w:rsidRPr="00625C35" w:rsidRDefault="00E95FDD" w:rsidP="00CC3A97">
      <w:pPr>
        <w:pStyle w:val="Default"/>
        <w:rPr>
          <w:b/>
          <w:bCs/>
          <w:sz w:val="20"/>
          <w:szCs w:val="20"/>
        </w:rPr>
      </w:pPr>
      <w:r w:rsidRPr="00625C35">
        <w:rPr>
          <w:b/>
          <w:bCs/>
          <w:sz w:val="20"/>
          <w:szCs w:val="20"/>
        </w:rPr>
        <w:t>Role</w:t>
      </w:r>
    </w:p>
    <w:p w14:paraId="5EF58EF8" w14:textId="3BCD2028" w:rsidR="002D3054" w:rsidRPr="00625C35" w:rsidRDefault="00A87BC1" w:rsidP="00CC3A97">
      <w:pPr>
        <w:pStyle w:val="Default"/>
        <w:rPr>
          <w:sz w:val="20"/>
          <w:szCs w:val="20"/>
        </w:rPr>
      </w:pPr>
      <w:r w:rsidRPr="00625C35">
        <w:rPr>
          <w:sz w:val="20"/>
          <w:szCs w:val="20"/>
        </w:rPr>
        <w:t>To b</w:t>
      </w:r>
      <w:r w:rsidR="002D3054" w:rsidRPr="00625C35">
        <w:rPr>
          <w:sz w:val="20"/>
          <w:szCs w:val="20"/>
        </w:rPr>
        <w:t>ring together the leading patient and professional bodies involved in eye health, the Council</w:t>
      </w:r>
      <w:r w:rsidR="00E95FDD" w:rsidRPr="00625C35">
        <w:rPr>
          <w:sz w:val="20"/>
          <w:szCs w:val="20"/>
        </w:rPr>
        <w:t xml:space="preserve">’s role is strategic and advisory, </w:t>
      </w:r>
      <w:r w:rsidR="002D3054" w:rsidRPr="00625C35">
        <w:rPr>
          <w:sz w:val="20"/>
          <w:szCs w:val="20"/>
        </w:rPr>
        <w:t>focus</w:t>
      </w:r>
      <w:r w:rsidR="00E95FDD" w:rsidRPr="00625C35">
        <w:rPr>
          <w:sz w:val="20"/>
          <w:szCs w:val="20"/>
        </w:rPr>
        <w:t>ing</w:t>
      </w:r>
      <w:r w:rsidR="002D3054" w:rsidRPr="00625C35">
        <w:rPr>
          <w:sz w:val="20"/>
          <w:szCs w:val="20"/>
        </w:rPr>
        <w:t xml:space="preserve"> on priority issues related to the commissioning of eye </w:t>
      </w:r>
      <w:r w:rsidR="00256B95" w:rsidRPr="00625C35">
        <w:rPr>
          <w:sz w:val="20"/>
          <w:szCs w:val="20"/>
        </w:rPr>
        <w:t>health, social</w:t>
      </w:r>
      <w:r w:rsidR="002D3054" w:rsidRPr="00625C35">
        <w:rPr>
          <w:sz w:val="20"/>
          <w:szCs w:val="20"/>
        </w:rPr>
        <w:t xml:space="preserve"> care and public health</w:t>
      </w:r>
      <w:r w:rsidR="00E95FDD" w:rsidRPr="00625C35">
        <w:rPr>
          <w:sz w:val="20"/>
          <w:szCs w:val="20"/>
        </w:rPr>
        <w:t xml:space="preserve"> services</w:t>
      </w:r>
      <w:r w:rsidR="002D3054" w:rsidRPr="00625C35">
        <w:rPr>
          <w:sz w:val="20"/>
          <w:szCs w:val="20"/>
        </w:rPr>
        <w:t xml:space="preserve">. The </w:t>
      </w:r>
      <w:r w:rsidR="0098600D" w:rsidRPr="00625C35">
        <w:rPr>
          <w:sz w:val="20"/>
          <w:szCs w:val="20"/>
        </w:rPr>
        <w:t xml:space="preserve">Clinical </w:t>
      </w:r>
      <w:r w:rsidR="002D3054" w:rsidRPr="00625C35">
        <w:rPr>
          <w:sz w:val="20"/>
          <w:szCs w:val="20"/>
        </w:rPr>
        <w:t xml:space="preserve">Council’s advice </w:t>
      </w:r>
      <w:r w:rsidR="00A358D3" w:rsidRPr="00625C35">
        <w:rPr>
          <w:sz w:val="20"/>
          <w:szCs w:val="20"/>
        </w:rPr>
        <w:t>is</w:t>
      </w:r>
      <w:r w:rsidR="002D3054" w:rsidRPr="00625C35">
        <w:rPr>
          <w:sz w:val="20"/>
          <w:szCs w:val="20"/>
        </w:rPr>
        <w:t xml:space="preserve"> based on the best evidence available and independent of any </w:t>
      </w:r>
      <w:r w:rsidR="00547762" w:rsidRPr="00625C35">
        <w:rPr>
          <w:sz w:val="20"/>
          <w:szCs w:val="20"/>
        </w:rPr>
        <w:t xml:space="preserve">professional or </w:t>
      </w:r>
      <w:r w:rsidR="002D3054" w:rsidRPr="00625C35">
        <w:rPr>
          <w:sz w:val="20"/>
          <w:szCs w:val="20"/>
        </w:rPr>
        <w:t xml:space="preserve">commercial interests. </w:t>
      </w:r>
    </w:p>
    <w:p w14:paraId="0D7AAD58" w14:textId="77777777" w:rsidR="002D3054" w:rsidRPr="00625C35" w:rsidRDefault="002D3054" w:rsidP="00CC3A97">
      <w:pPr>
        <w:pStyle w:val="Default"/>
        <w:rPr>
          <w:b/>
          <w:bCs/>
          <w:sz w:val="20"/>
          <w:szCs w:val="20"/>
        </w:rPr>
      </w:pPr>
    </w:p>
    <w:p w14:paraId="3658B600" w14:textId="77777777" w:rsidR="002D3054" w:rsidRPr="00625C35" w:rsidRDefault="002D3054" w:rsidP="00CC3A97">
      <w:pPr>
        <w:pStyle w:val="Default"/>
        <w:rPr>
          <w:sz w:val="20"/>
          <w:szCs w:val="20"/>
        </w:rPr>
      </w:pPr>
      <w:r w:rsidRPr="00625C35">
        <w:rPr>
          <w:b/>
          <w:bCs/>
          <w:sz w:val="20"/>
          <w:szCs w:val="20"/>
        </w:rPr>
        <w:t xml:space="preserve">Main functions </w:t>
      </w:r>
    </w:p>
    <w:p w14:paraId="044AFE36" w14:textId="77777777" w:rsidR="002D3054" w:rsidRPr="00625C35" w:rsidRDefault="002D3054" w:rsidP="00CC3A97">
      <w:pPr>
        <w:pStyle w:val="Default"/>
        <w:rPr>
          <w:sz w:val="20"/>
          <w:szCs w:val="20"/>
        </w:rPr>
      </w:pPr>
      <w:r w:rsidRPr="00625C35">
        <w:rPr>
          <w:sz w:val="20"/>
          <w:szCs w:val="20"/>
        </w:rPr>
        <w:t xml:space="preserve">To draw on the expertise of its members, singularly and collectively to: </w:t>
      </w:r>
    </w:p>
    <w:p w14:paraId="4C0719C9" w14:textId="77777777" w:rsidR="005F5AE7" w:rsidRPr="00625C35" w:rsidRDefault="005F5AE7" w:rsidP="00CC3A97">
      <w:pPr>
        <w:pStyle w:val="Default"/>
        <w:rPr>
          <w:sz w:val="20"/>
          <w:szCs w:val="20"/>
        </w:rPr>
      </w:pPr>
    </w:p>
    <w:p w14:paraId="6FCFAC08" w14:textId="42D12373" w:rsidR="002D3054" w:rsidRPr="00625C35" w:rsidRDefault="002D3054" w:rsidP="00CC3A97">
      <w:pPr>
        <w:pStyle w:val="Default"/>
        <w:numPr>
          <w:ilvl w:val="0"/>
          <w:numId w:val="2"/>
        </w:numPr>
        <w:spacing w:after="36"/>
        <w:rPr>
          <w:sz w:val="20"/>
          <w:szCs w:val="20"/>
        </w:rPr>
      </w:pPr>
      <w:r w:rsidRPr="00625C35">
        <w:rPr>
          <w:sz w:val="20"/>
          <w:szCs w:val="20"/>
        </w:rPr>
        <w:t>provide national</w:t>
      </w:r>
      <w:r w:rsidR="0098600D" w:rsidRPr="00625C35">
        <w:rPr>
          <w:sz w:val="20"/>
          <w:szCs w:val="20"/>
        </w:rPr>
        <w:t>, representative</w:t>
      </w:r>
      <w:r w:rsidRPr="00625C35">
        <w:rPr>
          <w:sz w:val="20"/>
          <w:szCs w:val="20"/>
        </w:rPr>
        <w:t xml:space="preserve"> clinical leadership </w:t>
      </w:r>
      <w:r w:rsidR="0098600D" w:rsidRPr="00625C35">
        <w:rPr>
          <w:sz w:val="20"/>
          <w:szCs w:val="20"/>
        </w:rPr>
        <w:t xml:space="preserve">and advocacy </w:t>
      </w:r>
      <w:r w:rsidRPr="00625C35">
        <w:rPr>
          <w:sz w:val="20"/>
          <w:szCs w:val="20"/>
        </w:rPr>
        <w:t>for eye health</w:t>
      </w:r>
      <w:r w:rsidR="0098600D" w:rsidRPr="00625C35">
        <w:rPr>
          <w:sz w:val="20"/>
          <w:szCs w:val="20"/>
        </w:rPr>
        <w:t xml:space="preserve"> and </w:t>
      </w:r>
      <w:r w:rsidR="00C8080B" w:rsidRPr="00625C35">
        <w:rPr>
          <w:sz w:val="20"/>
          <w:szCs w:val="20"/>
        </w:rPr>
        <w:t xml:space="preserve">eye </w:t>
      </w:r>
      <w:proofErr w:type="gramStart"/>
      <w:r w:rsidR="0098600D" w:rsidRPr="00625C35">
        <w:rPr>
          <w:sz w:val="20"/>
          <w:szCs w:val="20"/>
        </w:rPr>
        <w:t>care</w:t>
      </w:r>
      <w:r w:rsidRPr="00625C35">
        <w:rPr>
          <w:sz w:val="20"/>
          <w:szCs w:val="20"/>
        </w:rPr>
        <w:t>;</w:t>
      </w:r>
      <w:proofErr w:type="gramEnd"/>
      <w:r w:rsidRPr="00625C35">
        <w:rPr>
          <w:sz w:val="20"/>
          <w:szCs w:val="20"/>
        </w:rPr>
        <w:t xml:space="preserve"> </w:t>
      </w:r>
    </w:p>
    <w:p w14:paraId="0D07A898" w14:textId="77777777" w:rsidR="0098600D" w:rsidRPr="00625C35" w:rsidRDefault="0098600D" w:rsidP="00CC3A97">
      <w:pPr>
        <w:pStyle w:val="Default"/>
        <w:numPr>
          <w:ilvl w:val="0"/>
          <w:numId w:val="2"/>
        </w:numPr>
        <w:spacing w:after="36"/>
        <w:rPr>
          <w:sz w:val="20"/>
          <w:szCs w:val="20"/>
        </w:rPr>
      </w:pPr>
      <w:r w:rsidRPr="00625C35">
        <w:rPr>
          <w:sz w:val="20"/>
          <w:szCs w:val="20"/>
        </w:rPr>
        <w:t>provide evidence-based advice and guidance to:</w:t>
      </w:r>
    </w:p>
    <w:p w14:paraId="79DB8218" w14:textId="77777777" w:rsidR="0098600D" w:rsidRPr="00625C35" w:rsidRDefault="0098600D" w:rsidP="00CC3A97">
      <w:pPr>
        <w:pStyle w:val="Default"/>
        <w:numPr>
          <w:ilvl w:val="1"/>
          <w:numId w:val="2"/>
        </w:numPr>
        <w:spacing w:after="36"/>
        <w:rPr>
          <w:sz w:val="20"/>
          <w:szCs w:val="20"/>
        </w:rPr>
      </w:pPr>
      <w:r w:rsidRPr="00625C35">
        <w:rPr>
          <w:sz w:val="20"/>
          <w:szCs w:val="20"/>
        </w:rPr>
        <w:t>inform NHS policy and strategies for planning, commissioning and provision of eye health and care services</w:t>
      </w:r>
    </w:p>
    <w:p w14:paraId="751AB95E" w14:textId="77777777" w:rsidR="0098600D" w:rsidRPr="00625C35" w:rsidRDefault="0098600D" w:rsidP="00CC3A97">
      <w:pPr>
        <w:pStyle w:val="Default"/>
        <w:numPr>
          <w:ilvl w:val="1"/>
          <w:numId w:val="2"/>
        </w:numPr>
        <w:spacing w:after="36"/>
        <w:rPr>
          <w:sz w:val="20"/>
          <w:szCs w:val="20"/>
        </w:rPr>
      </w:pPr>
      <w:r w:rsidRPr="00625C35">
        <w:rPr>
          <w:sz w:val="20"/>
          <w:szCs w:val="20"/>
        </w:rPr>
        <w:t>highlight systemic problems in the delivery of eye health and care services and priorities for solutions to address them</w:t>
      </w:r>
    </w:p>
    <w:p w14:paraId="1D4645A9" w14:textId="53F3856A" w:rsidR="002D3054" w:rsidRPr="00625C35" w:rsidRDefault="002D3054" w:rsidP="00CC3A97">
      <w:pPr>
        <w:pStyle w:val="Default"/>
        <w:numPr>
          <w:ilvl w:val="0"/>
          <w:numId w:val="2"/>
        </w:numPr>
        <w:spacing w:after="36"/>
        <w:rPr>
          <w:sz w:val="20"/>
          <w:szCs w:val="20"/>
        </w:rPr>
      </w:pPr>
      <w:r w:rsidRPr="00625C35">
        <w:rPr>
          <w:sz w:val="20"/>
          <w:szCs w:val="20"/>
        </w:rPr>
        <w:t>work in partnership with</w:t>
      </w:r>
      <w:r w:rsidR="008E0561" w:rsidRPr="00625C35">
        <w:rPr>
          <w:sz w:val="20"/>
          <w:szCs w:val="20"/>
        </w:rPr>
        <w:t xml:space="preserve"> </w:t>
      </w:r>
      <w:r w:rsidRPr="00625C35">
        <w:rPr>
          <w:sz w:val="20"/>
          <w:szCs w:val="20"/>
        </w:rPr>
        <w:t xml:space="preserve">commissioners, </w:t>
      </w:r>
      <w:r w:rsidR="0098600D" w:rsidRPr="00625C35">
        <w:rPr>
          <w:sz w:val="20"/>
          <w:szCs w:val="20"/>
        </w:rPr>
        <w:t xml:space="preserve">providers, government and </w:t>
      </w:r>
      <w:r w:rsidRPr="00625C35">
        <w:rPr>
          <w:sz w:val="20"/>
          <w:szCs w:val="20"/>
        </w:rPr>
        <w:t xml:space="preserve">NHS </w:t>
      </w:r>
      <w:r w:rsidR="0098600D" w:rsidRPr="00625C35">
        <w:rPr>
          <w:sz w:val="20"/>
          <w:szCs w:val="20"/>
        </w:rPr>
        <w:t>organisation</w:t>
      </w:r>
      <w:r w:rsidR="00F57271" w:rsidRPr="00625C35">
        <w:rPr>
          <w:sz w:val="20"/>
          <w:szCs w:val="20"/>
        </w:rPr>
        <w:t>s</w:t>
      </w:r>
      <w:r w:rsidRPr="00625C35">
        <w:rPr>
          <w:sz w:val="20"/>
          <w:szCs w:val="20"/>
        </w:rPr>
        <w:t xml:space="preserve">, </w:t>
      </w:r>
      <w:r w:rsidR="0098600D" w:rsidRPr="00625C35">
        <w:rPr>
          <w:sz w:val="20"/>
          <w:szCs w:val="20"/>
        </w:rPr>
        <w:t xml:space="preserve">local authorities and patients </w:t>
      </w:r>
      <w:r w:rsidRPr="00625C35">
        <w:rPr>
          <w:sz w:val="20"/>
          <w:szCs w:val="20"/>
        </w:rPr>
        <w:t xml:space="preserve">to drive improvements in </w:t>
      </w:r>
      <w:r w:rsidR="0098600D" w:rsidRPr="00625C35">
        <w:rPr>
          <w:sz w:val="20"/>
          <w:szCs w:val="20"/>
        </w:rPr>
        <w:t xml:space="preserve">delivery and organisation of </w:t>
      </w:r>
      <w:r w:rsidRPr="00625C35">
        <w:rPr>
          <w:sz w:val="20"/>
          <w:szCs w:val="20"/>
        </w:rPr>
        <w:t xml:space="preserve">eye health </w:t>
      </w:r>
      <w:r w:rsidR="0098600D" w:rsidRPr="00625C35">
        <w:rPr>
          <w:sz w:val="20"/>
          <w:szCs w:val="20"/>
        </w:rPr>
        <w:t>and</w:t>
      </w:r>
      <w:r w:rsidRPr="00625C35">
        <w:rPr>
          <w:sz w:val="20"/>
          <w:szCs w:val="20"/>
        </w:rPr>
        <w:t xml:space="preserve"> </w:t>
      </w:r>
      <w:r w:rsidR="00C8080B" w:rsidRPr="00625C35">
        <w:rPr>
          <w:sz w:val="20"/>
          <w:szCs w:val="20"/>
        </w:rPr>
        <w:t xml:space="preserve">eye </w:t>
      </w:r>
      <w:r w:rsidRPr="00625C35">
        <w:rPr>
          <w:sz w:val="20"/>
          <w:szCs w:val="20"/>
        </w:rPr>
        <w:t>care</w:t>
      </w:r>
      <w:r w:rsidR="00F57271" w:rsidRPr="00625C35">
        <w:rPr>
          <w:sz w:val="20"/>
          <w:szCs w:val="20"/>
        </w:rPr>
        <w:t xml:space="preserve"> services</w:t>
      </w:r>
      <w:r w:rsidR="00A358D3" w:rsidRPr="00625C35">
        <w:rPr>
          <w:sz w:val="20"/>
          <w:szCs w:val="20"/>
        </w:rPr>
        <w:t>.</w:t>
      </w:r>
      <w:r w:rsidRPr="00625C35">
        <w:rPr>
          <w:sz w:val="20"/>
          <w:szCs w:val="20"/>
        </w:rPr>
        <w:t xml:space="preserve"> </w:t>
      </w:r>
    </w:p>
    <w:p w14:paraId="74E898B7" w14:textId="77777777" w:rsidR="002D3054" w:rsidRPr="00625C35" w:rsidRDefault="002D3054" w:rsidP="00CC3A97">
      <w:pPr>
        <w:pStyle w:val="Default"/>
        <w:ind w:left="720"/>
        <w:rPr>
          <w:sz w:val="20"/>
          <w:szCs w:val="20"/>
        </w:rPr>
      </w:pPr>
    </w:p>
    <w:p w14:paraId="1A379ED7" w14:textId="77777777" w:rsidR="002D3054" w:rsidRPr="00625C35" w:rsidRDefault="002D3054" w:rsidP="00CC3A97">
      <w:pPr>
        <w:pStyle w:val="Default"/>
        <w:rPr>
          <w:sz w:val="20"/>
          <w:szCs w:val="20"/>
        </w:rPr>
      </w:pPr>
      <w:r w:rsidRPr="00625C35">
        <w:rPr>
          <w:b/>
          <w:bCs/>
          <w:sz w:val="20"/>
          <w:szCs w:val="20"/>
        </w:rPr>
        <w:t xml:space="preserve">Membership </w:t>
      </w:r>
    </w:p>
    <w:p w14:paraId="62D56968" w14:textId="2B0178FF" w:rsidR="002D3054" w:rsidRPr="00625C35" w:rsidRDefault="002D3054" w:rsidP="00CC3A97">
      <w:pPr>
        <w:pStyle w:val="Default"/>
        <w:ind w:right="-330"/>
        <w:rPr>
          <w:sz w:val="20"/>
          <w:szCs w:val="20"/>
        </w:rPr>
      </w:pPr>
      <w:r w:rsidRPr="00625C35">
        <w:rPr>
          <w:sz w:val="20"/>
          <w:szCs w:val="20"/>
        </w:rPr>
        <w:t xml:space="preserve">The </w:t>
      </w:r>
      <w:r w:rsidR="00092D5E" w:rsidRPr="00625C35">
        <w:rPr>
          <w:sz w:val="20"/>
          <w:szCs w:val="20"/>
        </w:rPr>
        <w:t xml:space="preserve">Clinical </w:t>
      </w:r>
      <w:r w:rsidRPr="00625C35">
        <w:rPr>
          <w:sz w:val="20"/>
          <w:szCs w:val="20"/>
        </w:rPr>
        <w:t xml:space="preserve">Council will consist of </w:t>
      </w:r>
      <w:r w:rsidR="00092D5E" w:rsidRPr="00625C35">
        <w:rPr>
          <w:sz w:val="20"/>
          <w:szCs w:val="20"/>
        </w:rPr>
        <w:t xml:space="preserve">representatives from </w:t>
      </w:r>
      <w:r w:rsidRPr="00625C35">
        <w:rPr>
          <w:sz w:val="20"/>
          <w:szCs w:val="20"/>
        </w:rPr>
        <w:t xml:space="preserve">the following </w:t>
      </w:r>
      <w:r w:rsidR="00092D5E" w:rsidRPr="00625C35">
        <w:rPr>
          <w:sz w:val="20"/>
          <w:szCs w:val="20"/>
        </w:rPr>
        <w:t>Member O</w:t>
      </w:r>
      <w:r w:rsidRPr="00625C35">
        <w:rPr>
          <w:sz w:val="20"/>
          <w:szCs w:val="20"/>
        </w:rPr>
        <w:t>rganisations</w:t>
      </w:r>
      <w:r w:rsidR="00625C35" w:rsidRPr="00625C35">
        <w:rPr>
          <w:sz w:val="20"/>
          <w:szCs w:val="20"/>
        </w:rPr>
        <w:t>:</w:t>
      </w:r>
      <w:r w:rsidRPr="00625C35">
        <w:rPr>
          <w:sz w:val="20"/>
          <w:szCs w:val="20"/>
        </w:rPr>
        <w:t xml:space="preserve"> </w:t>
      </w:r>
    </w:p>
    <w:p w14:paraId="3039A9AD" w14:textId="77777777" w:rsidR="005F5AE7" w:rsidRPr="00625C35" w:rsidRDefault="005F5AE7" w:rsidP="00CC3A97">
      <w:pPr>
        <w:pStyle w:val="Default"/>
        <w:rPr>
          <w:sz w:val="20"/>
          <w:szCs w:val="20"/>
        </w:rPr>
      </w:pPr>
    </w:p>
    <w:p w14:paraId="2F2F2518" w14:textId="2C92DB1D" w:rsidR="002D3054" w:rsidRPr="00625C35" w:rsidRDefault="00F02D09" w:rsidP="00625C35">
      <w:pPr>
        <w:pStyle w:val="ListParagraph"/>
        <w:numPr>
          <w:ilvl w:val="0"/>
          <w:numId w:val="6"/>
        </w:numPr>
      </w:pPr>
      <w:r w:rsidRPr="00625C35">
        <w:t xml:space="preserve">The </w:t>
      </w:r>
      <w:r w:rsidR="002D3054" w:rsidRPr="00625C35">
        <w:t xml:space="preserve">Royal College of Ophthalmologists </w:t>
      </w:r>
      <w:r w:rsidR="00AE2CF2" w:rsidRPr="00625C35">
        <w:t xml:space="preserve">– </w:t>
      </w:r>
      <w:r w:rsidR="002D3054" w:rsidRPr="00625C35">
        <w:t xml:space="preserve">4 nominees </w:t>
      </w:r>
    </w:p>
    <w:p w14:paraId="3EAEDBFE" w14:textId="70CD977C" w:rsidR="002D3054" w:rsidRPr="00625C35" w:rsidRDefault="00F02D09" w:rsidP="00625C35">
      <w:pPr>
        <w:pStyle w:val="ListParagraph"/>
        <w:numPr>
          <w:ilvl w:val="0"/>
          <w:numId w:val="6"/>
        </w:numPr>
      </w:pPr>
      <w:r w:rsidRPr="00625C35">
        <w:t xml:space="preserve">The </w:t>
      </w:r>
      <w:r w:rsidR="002D3054" w:rsidRPr="00625C35">
        <w:t xml:space="preserve">College of Optometrists – 3 nominees </w:t>
      </w:r>
    </w:p>
    <w:p w14:paraId="553A63AF" w14:textId="469E6C6A" w:rsidR="002D3054" w:rsidRPr="00625C35" w:rsidRDefault="002D3054" w:rsidP="00625C35">
      <w:pPr>
        <w:pStyle w:val="ListParagraph"/>
        <w:numPr>
          <w:ilvl w:val="0"/>
          <w:numId w:val="6"/>
        </w:numPr>
      </w:pPr>
      <w:r w:rsidRPr="00625C35">
        <w:t>Local Opt</w:t>
      </w:r>
      <w:r w:rsidR="009A5DE6" w:rsidRPr="00625C35">
        <w:t>ical</w:t>
      </w:r>
      <w:r w:rsidRPr="00625C35">
        <w:t xml:space="preserve"> Committee Support Unit (LOCSU) </w:t>
      </w:r>
      <w:r w:rsidR="00312947" w:rsidRPr="00625C35">
        <w:t>– 1 nominee</w:t>
      </w:r>
    </w:p>
    <w:p w14:paraId="3C0F0432" w14:textId="77777777" w:rsidR="002D3054" w:rsidRPr="00625C35" w:rsidRDefault="00343926" w:rsidP="00625C35">
      <w:pPr>
        <w:pStyle w:val="ListParagraph"/>
        <w:numPr>
          <w:ilvl w:val="0"/>
          <w:numId w:val="6"/>
        </w:numPr>
      </w:pPr>
      <w:r w:rsidRPr="00625C35">
        <w:t>British and Irish Orthoptic</w:t>
      </w:r>
      <w:r w:rsidR="002D3054" w:rsidRPr="00625C35">
        <w:t xml:space="preserve"> Society – 1 nominee </w:t>
      </w:r>
    </w:p>
    <w:p w14:paraId="2720C0EA" w14:textId="3B618277" w:rsidR="002D3054" w:rsidRPr="00625C35" w:rsidRDefault="002D3054" w:rsidP="00625C35">
      <w:pPr>
        <w:pStyle w:val="ListParagraph"/>
        <w:numPr>
          <w:ilvl w:val="0"/>
          <w:numId w:val="6"/>
        </w:numPr>
      </w:pPr>
      <w:r w:rsidRPr="00625C35">
        <w:t>Royal Coll</w:t>
      </w:r>
      <w:r w:rsidR="00DA5EC3" w:rsidRPr="00625C35">
        <w:t>ege of General Practitioners – 1</w:t>
      </w:r>
      <w:r w:rsidRPr="00625C35">
        <w:t xml:space="preserve"> nominee </w:t>
      </w:r>
    </w:p>
    <w:p w14:paraId="2E95A72D" w14:textId="77777777" w:rsidR="002D3054" w:rsidRPr="00625C35" w:rsidRDefault="002D3054" w:rsidP="00625C35">
      <w:pPr>
        <w:pStyle w:val="ListParagraph"/>
        <w:numPr>
          <w:ilvl w:val="0"/>
          <w:numId w:val="6"/>
        </w:numPr>
      </w:pPr>
      <w:r w:rsidRPr="00625C35">
        <w:t xml:space="preserve">Royal College of Nursing (Ophthalmic Section) – 1 nominee </w:t>
      </w:r>
    </w:p>
    <w:p w14:paraId="3E3B3ED7" w14:textId="77777777" w:rsidR="002D3054" w:rsidRPr="00625C35" w:rsidRDefault="002D3054" w:rsidP="00625C35">
      <w:pPr>
        <w:pStyle w:val="ListParagraph"/>
        <w:numPr>
          <w:ilvl w:val="0"/>
          <w:numId w:val="6"/>
        </w:numPr>
      </w:pPr>
      <w:r w:rsidRPr="00625C35">
        <w:t xml:space="preserve">Association of British Dispensing Opticians – 1 nominee </w:t>
      </w:r>
    </w:p>
    <w:p w14:paraId="01E6A19D" w14:textId="0D64CA1A" w:rsidR="002D3054" w:rsidRPr="00625C35" w:rsidRDefault="00BD1084" w:rsidP="00625C35">
      <w:pPr>
        <w:pStyle w:val="ListParagraph"/>
        <w:numPr>
          <w:ilvl w:val="0"/>
          <w:numId w:val="6"/>
        </w:numPr>
      </w:pPr>
      <w:r w:rsidRPr="00625C35">
        <w:t>Royal National Institute of Blind People</w:t>
      </w:r>
      <w:r w:rsidR="002D3054" w:rsidRPr="00625C35">
        <w:t xml:space="preserve"> </w:t>
      </w:r>
      <w:r w:rsidR="00AE2CF2" w:rsidRPr="00625C35">
        <w:t xml:space="preserve">– </w:t>
      </w:r>
      <w:r w:rsidR="002D3054" w:rsidRPr="00625C35">
        <w:t xml:space="preserve">1 nominee </w:t>
      </w:r>
    </w:p>
    <w:p w14:paraId="3B18DFC8" w14:textId="77777777" w:rsidR="002D3054" w:rsidRPr="00625C35" w:rsidRDefault="002D3054" w:rsidP="00625C35">
      <w:pPr>
        <w:pStyle w:val="ListParagraph"/>
        <w:numPr>
          <w:ilvl w:val="0"/>
          <w:numId w:val="6"/>
        </w:numPr>
      </w:pPr>
      <w:r w:rsidRPr="00625C35">
        <w:t xml:space="preserve">Faculty of Public Health – 1 nominee </w:t>
      </w:r>
    </w:p>
    <w:p w14:paraId="444DC47A" w14:textId="77777777" w:rsidR="009A5DE6" w:rsidRPr="00625C35" w:rsidRDefault="002D3054" w:rsidP="00625C35">
      <w:pPr>
        <w:pStyle w:val="ListParagraph"/>
        <w:numPr>
          <w:ilvl w:val="0"/>
          <w:numId w:val="6"/>
        </w:numPr>
      </w:pPr>
      <w:r w:rsidRPr="00625C35">
        <w:t>Association of Directors of Adult Social Services – 1 nominee</w:t>
      </w:r>
    </w:p>
    <w:p w14:paraId="76775C27" w14:textId="761ABD0F" w:rsidR="009A5DE6" w:rsidRPr="00625C35" w:rsidRDefault="003479F3" w:rsidP="00625C35">
      <w:pPr>
        <w:pStyle w:val="ListParagraph"/>
        <w:numPr>
          <w:ilvl w:val="0"/>
          <w:numId w:val="6"/>
        </w:numPr>
      </w:pPr>
      <w:bookmarkStart w:id="0" w:name="_Hlk528866093"/>
      <w:r w:rsidRPr="00625C35">
        <w:t xml:space="preserve">Glaucoma UK </w:t>
      </w:r>
      <w:r w:rsidR="009A5DE6" w:rsidRPr="00625C35">
        <w:t xml:space="preserve">– </w:t>
      </w:r>
      <w:bookmarkEnd w:id="0"/>
      <w:r w:rsidR="009A5DE6" w:rsidRPr="00625C35">
        <w:t>1 nominee</w:t>
      </w:r>
    </w:p>
    <w:p w14:paraId="5C172A38" w14:textId="2F9B9D1A" w:rsidR="002D3054" w:rsidRPr="00625C35" w:rsidRDefault="009A5DE6" w:rsidP="00625C35">
      <w:pPr>
        <w:pStyle w:val="ListParagraph"/>
        <w:numPr>
          <w:ilvl w:val="0"/>
          <w:numId w:val="6"/>
        </w:numPr>
      </w:pPr>
      <w:r w:rsidRPr="00625C35">
        <w:t xml:space="preserve">Macular Society – 1 </w:t>
      </w:r>
      <w:r w:rsidR="00CC6D07" w:rsidRPr="00625C35">
        <w:t>n</w:t>
      </w:r>
      <w:r w:rsidRPr="00625C35">
        <w:t>ominee</w:t>
      </w:r>
    </w:p>
    <w:p w14:paraId="7FE6CA01" w14:textId="55B573D0" w:rsidR="00EC63B4" w:rsidRPr="00625C35" w:rsidRDefault="0077332D" w:rsidP="00625C35">
      <w:pPr>
        <w:pStyle w:val="ListParagraph"/>
        <w:numPr>
          <w:ilvl w:val="0"/>
          <w:numId w:val="6"/>
        </w:numPr>
      </w:pPr>
      <w:r w:rsidRPr="00625C35">
        <w:t>Association of Optometrists</w:t>
      </w:r>
      <w:r w:rsidR="00CC3A97" w:rsidRPr="00625C35">
        <w:t xml:space="preserve"> (AOP)</w:t>
      </w:r>
      <w:r w:rsidRPr="00625C35">
        <w:t xml:space="preserve"> – 1 nominee</w:t>
      </w:r>
    </w:p>
    <w:p w14:paraId="714AAEA7" w14:textId="6D5C783C" w:rsidR="00CC3A97" w:rsidRPr="00625C35" w:rsidRDefault="005C7711" w:rsidP="00625C35">
      <w:pPr>
        <w:pStyle w:val="ListParagraph"/>
        <w:numPr>
          <w:ilvl w:val="0"/>
          <w:numId w:val="6"/>
        </w:numPr>
      </w:pPr>
      <w:r w:rsidRPr="005C7711">
        <w:t>Federation of Optometrists and Dispensing Opticians (FODO)</w:t>
      </w:r>
      <w:r>
        <w:t xml:space="preserve"> </w:t>
      </w:r>
      <w:r w:rsidR="00CC3A97" w:rsidRPr="00625C35">
        <w:t>– 1 nominee</w:t>
      </w:r>
    </w:p>
    <w:p w14:paraId="597BC25D" w14:textId="1C36BD42" w:rsidR="001B3076" w:rsidRPr="00625C35" w:rsidRDefault="001B3076" w:rsidP="00CC3A97">
      <w:pPr>
        <w:pStyle w:val="Default"/>
        <w:rPr>
          <w:sz w:val="20"/>
          <w:szCs w:val="20"/>
        </w:rPr>
      </w:pPr>
      <w:r w:rsidRPr="00625C35">
        <w:rPr>
          <w:sz w:val="20"/>
          <w:szCs w:val="20"/>
        </w:rPr>
        <w:t>Attendees</w:t>
      </w:r>
      <w:r w:rsidR="00F013C0" w:rsidRPr="00625C35">
        <w:rPr>
          <w:sz w:val="20"/>
          <w:szCs w:val="20"/>
        </w:rPr>
        <w:t>:</w:t>
      </w:r>
      <w:r w:rsidRPr="00625C35">
        <w:rPr>
          <w:sz w:val="20"/>
          <w:szCs w:val="20"/>
        </w:rPr>
        <w:t xml:space="preserve"> NHS England – 3 representatives</w:t>
      </w:r>
    </w:p>
    <w:p w14:paraId="7BDC469E" w14:textId="77777777" w:rsidR="001B3076" w:rsidRPr="00625C35" w:rsidRDefault="001B3076" w:rsidP="00CC3A97">
      <w:pPr>
        <w:pStyle w:val="Default"/>
        <w:rPr>
          <w:sz w:val="20"/>
          <w:szCs w:val="20"/>
        </w:rPr>
      </w:pPr>
    </w:p>
    <w:p w14:paraId="3BEE700F" w14:textId="6450B13E" w:rsidR="002D3054" w:rsidRPr="00625C35" w:rsidRDefault="002D3054" w:rsidP="00CC3A97">
      <w:pPr>
        <w:pStyle w:val="Default"/>
        <w:rPr>
          <w:sz w:val="20"/>
          <w:szCs w:val="20"/>
        </w:rPr>
      </w:pPr>
      <w:r w:rsidRPr="00625C35">
        <w:rPr>
          <w:sz w:val="20"/>
          <w:szCs w:val="20"/>
        </w:rPr>
        <w:t xml:space="preserve">The </w:t>
      </w:r>
      <w:r w:rsidR="001B3076" w:rsidRPr="00625C35">
        <w:rPr>
          <w:sz w:val="20"/>
          <w:szCs w:val="20"/>
        </w:rPr>
        <w:t xml:space="preserve">Clinical </w:t>
      </w:r>
      <w:r w:rsidRPr="00625C35">
        <w:rPr>
          <w:sz w:val="20"/>
          <w:szCs w:val="20"/>
        </w:rPr>
        <w:t xml:space="preserve">Council </w:t>
      </w:r>
      <w:r w:rsidR="00256B95" w:rsidRPr="00625C35">
        <w:rPr>
          <w:sz w:val="20"/>
          <w:szCs w:val="20"/>
        </w:rPr>
        <w:t>may co</w:t>
      </w:r>
      <w:r w:rsidRPr="00625C35">
        <w:rPr>
          <w:sz w:val="20"/>
          <w:szCs w:val="20"/>
        </w:rPr>
        <w:t>-opt members with additional expertise as required</w:t>
      </w:r>
      <w:r w:rsidR="001B3076" w:rsidRPr="00625C35">
        <w:rPr>
          <w:sz w:val="20"/>
          <w:szCs w:val="20"/>
        </w:rPr>
        <w:t xml:space="preserve"> for specific tasks or contributions to deliver its main functions</w:t>
      </w:r>
      <w:r w:rsidRPr="00625C35">
        <w:rPr>
          <w:sz w:val="20"/>
          <w:szCs w:val="20"/>
        </w:rPr>
        <w:t xml:space="preserve">. </w:t>
      </w:r>
    </w:p>
    <w:p w14:paraId="454DC5D7" w14:textId="77777777" w:rsidR="002D3054" w:rsidRPr="00625C35" w:rsidRDefault="002D3054" w:rsidP="00CC3A97">
      <w:pPr>
        <w:pStyle w:val="Default"/>
        <w:rPr>
          <w:b/>
          <w:bCs/>
          <w:sz w:val="20"/>
          <w:szCs w:val="20"/>
        </w:rPr>
      </w:pPr>
    </w:p>
    <w:p w14:paraId="09CE6FD1" w14:textId="77777777" w:rsidR="00020418" w:rsidRPr="00625C35" w:rsidRDefault="00020418" w:rsidP="00CC3A97">
      <w:pPr>
        <w:pStyle w:val="Default"/>
        <w:rPr>
          <w:b/>
          <w:bCs/>
          <w:sz w:val="20"/>
          <w:szCs w:val="20"/>
        </w:rPr>
      </w:pPr>
    </w:p>
    <w:p w14:paraId="67AF0D07" w14:textId="77777777" w:rsidR="00D45625" w:rsidRDefault="00D45625" w:rsidP="00CC3A97">
      <w:pPr>
        <w:pStyle w:val="Default"/>
        <w:rPr>
          <w:b/>
          <w:bCs/>
          <w:sz w:val="20"/>
          <w:szCs w:val="20"/>
        </w:rPr>
      </w:pPr>
    </w:p>
    <w:p w14:paraId="5BAEB239" w14:textId="77777777" w:rsidR="00D45625" w:rsidRDefault="00D45625" w:rsidP="00CC3A97">
      <w:pPr>
        <w:pStyle w:val="Default"/>
        <w:rPr>
          <w:b/>
          <w:bCs/>
          <w:sz w:val="20"/>
          <w:szCs w:val="20"/>
        </w:rPr>
      </w:pPr>
    </w:p>
    <w:p w14:paraId="64B726FC" w14:textId="77777777" w:rsidR="00D45625" w:rsidRDefault="00D45625" w:rsidP="00CC3A97">
      <w:pPr>
        <w:pStyle w:val="Default"/>
        <w:rPr>
          <w:b/>
          <w:bCs/>
          <w:sz w:val="20"/>
          <w:szCs w:val="20"/>
        </w:rPr>
      </w:pPr>
    </w:p>
    <w:p w14:paraId="0E2BB74B" w14:textId="57F81E81" w:rsidR="002D3054" w:rsidRPr="00625C35" w:rsidRDefault="002D3054" w:rsidP="00CC3A97">
      <w:pPr>
        <w:pStyle w:val="Default"/>
        <w:rPr>
          <w:sz w:val="20"/>
          <w:szCs w:val="20"/>
        </w:rPr>
      </w:pPr>
      <w:r w:rsidRPr="00625C35">
        <w:rPr>
          <w:b/>
          <w:bCs/>
          <w:sz w:val="20"/>
          <w:szCs w:val="20"/>
        </w:rPr>
        <w:lastRenderedPageBreak/>
        <w:t xml:space="preserve">Term of Office </w:t>
      </w:r>
    </w:p>
    <w:p w14:paraId="25023A2C" w14:textId="7FE32581" w:rsidR="00020418" w:rsidRPr="00625C35" w:rsidRDefault="00DC2D10" w:rsidP="00CC3A97">
      <w:pPr>
        <w:pStyle w:val="Default"/>
        <w:rPr>
          <w:sz w:val="20"/>
          <w:szCs w:val="20"/>
        </w:rPr>
      </w:pPr>
      <w:r w:rsidRPr="00625C35">
        <w:rPr>
          <w:sz w:val="20"/>
          <w:szCs w:val="20"/>
        </w:rPr>
        <w:t xml:space="preserve">Clinical Council </w:t>
      </w:r>
      <w:r w:rsidR="002D3054" w:rsidRPr="00625C35">
        <w:rPr>
          <w:sz w:val="20"/>
          <w:szCs w:val="20"/>
        </w:rPr>
        <w:t xml:space="preserve">members </w:t>
      </w:r>
      <w:r w:rsidRPr="00625C35">
        <w:rPr>
          <w:sz w:val="20"/>
          <w:szCs w:val="20"/>
        </w:rPr>
        <w:t xml:space="preserve">are expected to </w:t>
      </w:r>
      <w:r w:rsidR="002D3054" w:rsidRPr="00625C35">
        <w:rPr>
          <w:sz w:val="20"/>
          <w:szCs w:val="20"/>
        </w:rPr>
        <w:t xml:space="preserve">serve for a period of two years, renewable </w:t>
      </w:r>
      <w:r w:rsidR="00020418" w:rsidRPr="00625C35">
        <w:rPr>
          <w:sz w:val="20"/>
          <w:szCs w:val="20"/>
        </w:rPr>
        <w:t>at the discretion of the Member organisation, but with the expectation that they would plan to refresh their representation on Council after a maximum of three terms.</w:t>
      </w:r>
    </w:p>
    <w:p w14:paraId="056B8B5F" w14:textId="77777777" w:rsidR="00020418" w:rsidRPr="00625C35" w:rsidRDefault="00020418" w:rsidP="00CC3A97">
      <w:pPr>
        <w:pStyle w:val="Default"/>
        <w:rPr>
          <w:sz w:val="20"/>
          <w:szCs w:val="20"/>
        </w:rPr>
      </w:pPr>
    </w:p>
    <w:p w14:paraId="3E23608F" w14:textId="54316138" w:rsidR="002D3054" w:rsidRPr="00625C35" w:rsidRDefault="002D3054" w:rsidP="00CC3A97">
      <w:pPr>
        <w:pStyle w:val="Default"/>
        <w:rPr>
          <w:sz w:val="20"/>
          <w:szCs w:val="20"/>
        </w:rPr>
      </w:pPr>
      <w:r w:rsidRPr="00625C35">
        <w:rPr>
          <w:sz w:val="20"/>
          <w:szCs w:val="20"/>
        </w:rPr>
        <w:t xml:space="preserve">Each </w:t>
      </w:r>
      <w:r w:rsidR="00DC2D10" w:rsidRPr="00625C35">
        <w:rPr>
          <w:sz w:val="20"/>
          <w:szCs w:val="20"/>
        </w:rPr>
        <w:t xml:space="preserve">member </w:t>
      </w:r>
      <w:r w:rsidRPr="00625C35">
        <w:rPr>
          <w:sz w:val="20"/>
          <w:szCs w:val="20"/>
        </w:rPr>
        <w:t>organisation set</w:t>
      </w:r>
      <w:r w:rsidR="00DC2D10" w:rsidRPr="00625C35">
        <w:rPr>
          <w:sz w:val="20"/>
          <w:szCs w:val="20"/>
        </w:rPr>
        <w:t>s</w:t>
      </w:r>
      <w:r w:rsidRPr="00625C35">
        <w:rPr>
          <w:sz w:val="20"/>
          <w:szCs w:val="20"/>
        </w:rPr>
        <w:t xml:space="preserve"> its own internal processes for selecting nominees who </w:t>
      </w:r>
      <w:proofErr w:type="gramStart"/>
      <w:r w:rsidRPr="00625C35">
        <w:rPr>
          <w:sz w:val="20"/>
          <w:szCs w:val="20"/>
        </w:rPr>
        <w:t>are able to</w:t>
      </w:r>
      <w:proofErr w:type="gramEnd"/>
      <w:r w:rsidRPr="00625C35">
        <w:rPr>
          <w:sz w:val="20"/>
          <w:szCs w:val="20"/>
        </w:rPr>
        <w:t xml:space="preserve"> contribute to the main functions of the </w:t>
      </w:r>
      <w:r w:rsidR="00DC2D10" w:rsidRPr="00625C35">
        <w:rPr>
          <w:sz w:val="20"/>
          <w:szCs w:val="20"/>
        </w:rPr>
        <w:t xml:space="preserve">Clinical </w:t>
      </w:r>
      <w:r w:rsidRPr="00625C35">
        <w:rPr>
          <w:sz w:val="20"/>
          <w:szCs w:val="20"/>
        </w:rPr>
        <w:t xml:space="preserve">Council. </w:t>
      </w:r>
    </w:p>
    <w:p w14:paraId="6E3C1D25" w14:textId="77777777" w:rsidR="005F5AE7" w:rsidRPr="00625C35" w:rsidRDefault="005F5AE7" w:rsidP="00CC3A97">
      <w:pPr>
        <w:pStyle w:val="Default"/>
        <w:rPr>
          <w:b/>
          <w:bCs/>
          <w:sz w:val="20"/>
          <w:szCs w:val="20"/>
        </w:rPr>
      </w:pPr>
    </w:p>
    <w:p w14:paraId="1337146C" w14:textId="2B4F5B69" w:rsidR="002D3054" w:rsidRPr="00625C35" w:rsidRDefault="002D3054" w:rsidP="00CC3A97">
      <w:pPr>
        <w:pStyle w:val="Default"/>
        <w:rPr>
          <w:sz w:val="20"/>
          <w:szCs w:val="20"/>
        </w:rPr>
      </w:pPr>
      <w:r w:rsidRPr="00625C35">
        <w:rPr>
          <w:b/>
          <w:bCs/>
          <w:sz w:val="20"/>
          <w:szCs w:val="20"/>
        </w:rPr>
        <w:t xml:space="preserve">Chair </w:t>
      </w:r>
    </w:p>
    <w:p w14:paraId="6B9955C0" w14:textId="29C78EE8" w:rsidR="005F5AE7" w:rsidRPr="00625C35" w:rsidRDefault="00220447" w:rsidP="00CC3A97">
      <w:pPr>
        <w:pStyle w:val="Default"/>
        <w:rPr>
          <w:sz w:val="20"/>
          <w:szCs w:val="20"/>
        </w:rPr>
      </w:pPr>
      <w:r w:rsidRPr="00625C35">
        <w:rPr>
          <w:sz w:val="20"/>
          <w:szCs w:val="20"/>
        </w:rPr>
        <w:t xml:space="preserve">Clinical Council members are eligible for election after serving one term (2 years). The Chair is elected by the Clinical Council </w:t>
      </w:r>
      <w:r w:rsidR="00CD7E0C" w:rsidRPr="00625C35">
        <w:rPr>
          <w:sz w:val="20"/>
          <w:szCs w:val="20"/>
        </w:rPr>
        <w:t xml:space="preserve">members. The Chair shall serve for a </w:t>
      </w:r>
      <w:r w:rsidRPr="00625C35">
        <w:rPr>
          <w:sz w:val="20"/>
          <w:szCs w:val="20"/>
        </w:rPr>
        <w:t xml:space="preserve">term of </w:t>
      </w:r>
      <w:r w:rsidR="00CD7E0C" w:rsidRPr="00625C35">
        <w:rPr>
          <w:sz w:val="20"/>
          <w:szCs w:val="20"/>
        </w:rPr>
        <w:t>two year</w:t>
      </w:r>
      <w:r w:rsidRPr="00625C35">
        <w:rPr>
          <w:sz w:val="20"/>
          <w:szCs w:val="20"/>
        </w:rPr>
        <w:t>s</w:t>
      </w:r>
      <w:r w:rsidR="00CD7E0C" w:rsidRPr="00625C35">
        <w:rPr>
          <w:sz w:val="20"/>
          <w:szCs w:val="20"/>
        </w:rPr>
        <w:t xml:space="preserve"> which is renewable</w:t>
      </w:r>
      <w:r w:rsidR="00627787" w:rsidRPr="00625C35">
        <w:rPr>
          <w:sz w:val="20"/>
          <w:szCs w:val="20"/>
        </w:rPr>
        <w:t xml:space="preserve"> once</w:t>
      </w:r>
      <w:r w:rsidR="00CD7E0C" w:rsidRPr="00625C35">
        <w:rPr>
          <w:sz w:val="20"/>
          <w:szCs w:val="20"/>
        </w:rPr>
        <w:t xml:space="preserve">, subject to further nomination, for a maximum of </w:t>
      </w:r>
      <w:r w:rsidRPr="00625C35">
        <w:rPr>
          <w:sz w:val="20"/>
          <w:szCs w:val="20"/>
        </w:rPr>
        <w:t xml:space="preserve">two </w:t>
      </w:r>
      <w:r w:rsidR="00CD7E0C" w:rsidRPr="00625C35">
        <w:rPr>
          <w:sz w:val="20"/>
          <w:szCs w:val="20"/>
        </w:rPr>
        <w:t>terms</w:t>
      </w:r>
      <w:r w:rsidR="00C62F30" w:rsidRPr="00625C35">
        <w:rPr>
          <w:sz w:val="20"/>
          <w:szCs w:val="20"/>
        </w:rPr>
        <w:t>, or</w:t>
      </w:r>
      <w:r w:rsidR="00C8080B" w:rsidRPr="00625C35">
        <w:rPr>
          <w:sz w:val="20"/>
          <w:szCs w:val="20"/>
        </w:rPr>
        <w:t xml:space="preserve"> subject to extraordinary or exce</w:t>
      </w:r>
      <w:r w:rsidR="00017B83" w:rsidRPr="00625C35">
        <w:rPr>
          <w:sz w:val="20"/>
          <w:szCs w:val="20"/>
        </w:rPr>
        <w:t>ptional circumstances as below.</w:t>
      </w:r>
    </w:p>
    <w:p w14:paraId="67C23518" w14:textId="77777777" w:rsidR="00017B83" w:rsidRPr="00625C35" w:rsidRDefault="00017B83" w:rsidP="00CC3A97">
      <w:pPr>
        <w:pStyle w:val="Default"/>
        <w:rPr>
          <w:b/>
          <w:bCs/>
          <w:sz w:val="20"/>
          <w:szCs w:val="20"/>
        </w:rPr>
      </w:pPr>
    </w:p>
    <w:p w14:paraId="747B9A36" w14:textId="77777777" w:rsidR="007A661C" w:rsidRPr="00625C35" w:rsidRDefault="00CD7E0C" w:rsidP="00CC3A97">
      <w:pPr>
        <w:pStyle w:val="Default"/>
        <w:rPr>
          <w:b/>
          <w:bCs/>
          <w:sz w:val="20"/>
          <w:szCs w:val="20"/>
        </w:rPr>
      </w:pPr>
      <w:r w:rsidRPr="00625C35">
        <w:rPr>
          <w:b/>
          <w:bCs/>
          <w:sz w:val="20"/>
          <w:szCs w:val="20"/>
        </w:rPr>
        <w:t>Vice-Chair</w:t>
      </w:r>
    </w:p>
    <w:p w14:paraId="44D8065F" w14:textId="5F5F3FD7" w:rsidR="007A661C" w:rsidRPr="00625C35" w:rsidRDefault="00DD57C0" w:rsidP="00CC3A97">
      <w:pPr>
        <w:pStyle w:val="Default"/>
        <w:rPr>
          <w:sz w:val="20"/>
          <w:szCs w:val="20"/>
        </w:rPr>
      </w:pPr>
      <w:r w:rsidRPr="00625C35">
        <w:rPr>
          <w:sz w:val="20"/>
          <w:szCs w:val="20"/>
        </w:rPr>
        <w:t xml:space="preserve">Clinical Council members are eligible for election after serving one term (2 years). </w:t>
      </w:r>
      <w:r w:rsidR="00CD7E0C" w:rsidRPr="00625C35">
        <w:rPr>
          <w:sz w:val="20"/>
          <w:szCs w:val="20"/>
        </w:rPr>
        <w:t xml:space="preserve">The Vice-Chair </w:t>
      </w:r>
      <w:r w:rsidRPr="00625C35">
        <w:rPr>
          <w:sz w:val="20"/>
          <w:szCs w:val="20"/>
        </w:rPr>
        <w:t xml:space="preserve">is elected by the Clinical Council members. The Vice-Chair shall serve </w:t>
      </w:r>
      <w:r w:rsidR="00CD7E0C" w:rsidRPr="00625C35">
        <w:rPr>
          <w:sz w:val="20"/>
          <w:szCs w:val="20"/>
        </w:rPr>
        <w:t xml:space="preserve">for a </w:t>
      </w:r>
      <w:r w:rsidR="00F852F5" w:rsidRPr="00625C35">
        <w:rPr>
          <w:sz w:val="20"/>
          <w:szCs w:val="20"/>
        </w:rPr>
        <w:t>two-year</w:t>
      </w:r>
      <w:r w:rsidR="00CD7E0C" w:rsidRPr="00625C35">
        <w:rPr>
          <w:sz w:val="20"/>
          <w:szCs w:val="20"/>
        </w:rPr>
        <w:t xml:space="preserve"> term, which is renewable </w:t>
      </w:r>
      <w:r w:rsidR="00C26D09" w:rsidRPr="00625C35">
        <w:rPr>
          <w:sz w:val="20"/>
          <w:szCs w:val="20"/>
        </w:rPr>
        <w:t xml:space="preserve">once, </w:t>
      </w:r>
      <w:r w:rsidR="00CD7E0C" w:rsidRPr="00625C35">
        <w:rPr>
          <w:sz w:val="20"/>
          <w:szCs w:val="20"/>
        </w:rPr>
        <w:t>subject to further nomination</w:t>
      </w:r>
      <w:r w:rsidR="00C26D09" w:rsidRPr="00625C35">
        <w:rPr>
          <w:sz w:val="20"/>
          <w:szCs w:val="20"/>
        </w:rPr>
        <w:t>,</w:t>
      </w:r>
      <w:r w:rsidR="00CD7E0C" w:rsidRPr="00625C35">
        <w:rPr>
          <w:sz w:val="20"/>
          <w:szCs w:val="20"/>
        </w:rPr>
        <w:t xml:space="preserve"> for a maximum of </w:t>
      </w:r>
      <w:r w:rsidRPr="00625C35">
        <w:rPr>
          <w:sz w:val="20"/>
          <w:szCs w:val="20"/>
        </w:rPr>
        <w:t xml:space="preserve">two </w:t>
      </w:r>
      <w:r w:rsidR="00CD7E0C" w:rsidRPr="00625C35">
        <w:rPr>
          <w:sz w:val="20"/>
          <w:szCs w:val="20"/>
        </w:rPr>
        <w:t>terms</w:t>
      </w:r>
      <w:r w:rsidR="00C26D09" w:rsidRPr="00625C35">
        <w:rPr>
          <w:sz w:val="20"/>
          <w:szCs w:val="20"/>
        </w:rPr>
        <w:t>, or</w:t>
      </w:r>
      <w:r w:rsidR="00C8080B" w:rsidRPr="00625C35">
        <w:rPr>
          <w:sz w:val="20"/>
          <w:szCs w:val="20"/>
        </w:rPr>
        <w:t xml:space="preserve"> subject to extraordinary or exce</w:t>
      </w:r>
      <w:r w:rsidR="006C6421" w:rsidRPr="00625C35">
        <w:rPr>
          <w:sz w:val="20"/>
          <w:szCs w:val="20"/>
        </w:rPr>
        <w:t>ptional circumstances as below.</w:t>
      </w:r>
    </w:p>
    <w:p w14:paraId="6420F4F1" w14:textId="77777777" w:rsidR="006C6421" w:rsidRPr="00625C35" w:rsidRDefault="006C6421" w:rsidP="00CC3A97">
      <w:pPr>
        <w:pStyle w:val="Default"/>
        <w:rPr>
          <w:sz w:val="20"/>
          <w:szCs w:val="20"/>
        </w:rPr>
      </w:pPr>
    </w:p>
    <w:p w14:paraId="5726D084" w14:textId="4681E397" w:rsidR="004D7EB1" w:rsidRPr="00625C35" w:rsidRDefault="005B5D30" w:rsidP="00CC3A97">
      <w:pPr>
        <w:pStyle w:val="Default"/>
        <w:rPr>
          <w:b/>
          <w:bCs/>
          <w:sz w:val="20"/>
          <w:szCs w:val="20"/>
        </w:rPr>
      </w:pPr>
      <w:r w:rsidRPr="00625C35">
        <w:rPr>
          <w:b/>
          <w:bCs/>
          <w:sz w:val="20"/>
          <w:szCs w:val="20"/>
        </w:rPr>
        <w:t>Chair and Vice-</w:t>
      </w:r>
      <w:r w:rsidR="004D7EB1" w:rsidRPr="00625C35">
        <w:rPr>
          <w:b/>
          <w:bCs/>
          <w:sz w:val="20"/>
          <w:szCs w:val="20"/>
        </w:rPr>
        <w:t>Chair: Extraordinary and exceptional circumstances</w:t>
      </w:r>
    </w:p>
    <w:p w14:paraId="071A3132" w14:textId="7114B97A" w:rsidR="004D7EB1" w:rsidRPr="00625C35" w:rsidRDefault="004D7EB1" w:rsidP="00CC3A97">
      <w:pPr>
        <w:pStyle w:val="Default"/>
        <w:rPr>
          <w:sz w:val="20"/>
          <w:szCs w:val="20"/>
        </w:rPr>
      </w:pPr>
      <w:r w:rsidRPr="00625C35">
        <w:rPr>
          <w:sz w:val="20"/>
          <w:szCs w:val="20"/>
        </w:rPr>
        <w:t xml:space="preserve">In </w:t>
      </w:r>
      <w:r w:rsidR="00C8080B" w:rsidRPr="00625C35">
        <w:rPr>
          <w:sz w:val="20"/>
          <w:szCs w:val="20"/>
        </w:rPr>
        <w:t xml:space="preserve">extraordinary or </w:t>
      </w:r>
      <w:r w:rsidRPr="00625C35">
        <w:rPr>
          <w:sz w:val="20"/>
          <w:szCs w:val="20"/>
        </w:rPr>
        <w:t>exceptional circumstances, one or more Member Organisation</w:t>
      </w:r>
      <w:r w:rsidR="00B67B24" w:rsidRPr="00625C35">
        <w:rPr>
          <w:sz w:val="20"/>
          <w:szCs w:val="20"/>
        </w:rPr>
        <w:t>(</w:t>
      </w:r>
      <w:r w:rsidRPr="00625C35">
        <w:rPr>
          <w:sz w:val="20"/>
          <w:szCs w:val="20"/>
        </w:rPr>
        <w:t>s</w:t>
      </w:r>
      <w:r w:rsidR="00B67B24" w:rsidRPr="00625C35">
        <w:rPr>
          <w:sz w:val="20"/>
          <w:szCs w:val="20"/>
        </w:rPr>
        <w:t>)</w:t>
      </w:r>
      <w:r w:rsidRPr="00625C35">
        <w:rPr>
          <w:sz w:val="20"/>
          <w:szCs w:val="20"/>
        </w:rPr>
        <w:t xml:space="preserve"> may propose a motion (before or during a meeting of the CCEHC) to extend the mandates of the current Chair and/or Vice-Chair for a maximum of one year without an election, including a rationale for this proposal.</w:t>
      </w:r>
    </w:p>
    <w:p w14:paraId="12DE0B75" w14:textId="77777777" w:rsidR="004D7EB1" w:rsidRPr="00625C35" w:rsidRDefault="004D7EB1" w:rsidP="00CC3A97">
      <w:pPr>
        <w:pStyle w:val="Default"/>
        <w:rPr>
          <w:sz w:val="20"/>
          <w:szCs w:val="20"/>
        </w:rPr>
      </w:pPr>
      <w:r w:rsidRPr="00625C35">
        <w:rPr>
          <w:sz w:val="20"/>
          <w:szCs w:val="20"/>
        </w:rPr>
        <w:t xml:space="preserve"> </w:t>
      </w:r>
    </w:p>
    <w:p w14:paraId="6B6A3522" w14:textId="346D2C22" w:rsidR="004D7EB1" w:rsidRPr="00625C35" w:rsidRDefault="005B5D30" w:rsidP="00CC3A97">
      <w:pPr>
        <w:pStyle w:val="Default"/>
        <w:rPr>
          <w:sz w:val="20"/>
          <w:szCs w:val="20"/>
        </w:rPr>
      </w:pPr>
      <w:r w:rsidRPr="00625C35">
        <w:rPr>
          <w:sz w:val="20"/>
          <w:szCs w:val="20"/>
        </w:rPr>
        <w:t>If the Chair and/or the Vice-</w:t>
      </w:r>
      <w:r w:rsidR="004D7EB1" w:rsidRPr="00625C35">
        <w:rPr>
          <w:sz w:val="20"/>
          <w:szCs w:val="20"/>
        </w:rPr>
        <w:t xml:space="preserve">Chair agree to have their mandate extended, they will withdraw themselves from the discussion of the motion. If needed, the Secretariat will hold an exceptional meeting with appropriate notice and information to discuss the motion. </w:t>
      </w:r>
    </w:p>
    <w:p w14:paraId="64854AF1" w14:textId="77777777" w:rsidR="004D7EB1" w:rsidRPr="00625C35" w:rsidRDefault="004D7EB1" w:rsidP="00CC3A97">
      <w:pPr>
        <w:pStyle w:val="Default"/>
        <w:rPr>
          <w:sz w:val="20"/>
          <w:szCs w:val="20"/>
        </w:rPr>
      </w:pPr>
    </w:p>
    <w:p w14:paraId="6898E779" w14:textId="4613773B" w:rsidR="004D7EB1" w:rsidRPr="00625C35" w:rsidRDefault="004D7EB1" w:rsidP="00CC3A97">
      <w:pPr>
        <w:pStyle w:val="Default"/>
        <w:rPr>
          <w:sz w:val="20"/>
          <w:szCs w:val="20"/>
        </w:rPr>
      </w:pPr>
      <w:r w:rsidRPr="00625C35">
        <w:rPr>
          <w:sz w:val="20"/>
          <w:szCs w:val="20"/>
        </w:rPr>
        <w:t xml:space="preserve">Members’ representatives (excluding the Chair and Vice-Chair as applicable) will be asked to vote for or against the motion via an online survey, which will be administered by the Secretariat.  The voting period will be no longer than 5 working days and </w:t>
      </w:r>
      <w:r w:rsidR="00C8080B" w:rsidRPr="00625C35">
        <w:rPr>
          <w:sz w:val="20"/>
          <w:szCs w:val="20"/>
        </w:rPr>
        <w:t xml:space="preserve">the </w:t>
      </w:r>
      <w:r w:rsidRPr="00625C35">
        <w:rPr>
          <w:sz w:val="20"/>
          <w:szCs w:val="20"/>
        </w:rPr>
        <w:t>representative</w:t>
      </w:r>
      <w:r w:rsidR="00C8080B" w:rsidRPr="00625C35">
        <w:rPr>
          <w:sz w:val="20"/>
          <w:szCs w:val="20"/>
        </w:rPr>
        <w:t>s of each Membership Organisation</w:t>
      </w:r>
      <w:r w:rsidRPr="00625C35">
        <w:rPr>
          <w:sz w:val="20"/>
          <w:szCs w:val="20"/>
        </w:rPr>
        <w:t xml:space="preserve"> will</w:t>
      </w:r>
      <w:r w:rsidR="00C8080B" w:rsidRPr="00625C35">
        <w:rPr>
          <w:sz w:val="20"/>
          <w:szCs w:val="20"/>
        </w:rPr>
        <w:t xml:space="preserve"> each</w:t>
      </w:r>
      <w:r w:rsidRPr="00625C35">
        <w:rPr>
          <w:sz w:val="20"/>
          <w:szCs w:val="20"/>
        </w:rPr>
        <w:t xml:space="preserve"> have one vote.  The final decision will be taken by simple majority. The result will be announced by the Secretariat by email and will be recorded for transparency.</w:t>
      </w:r>
    </w:p>
    <w:p w14:paraId="4CF50AB0" w14:textId="77777777" w:rsidR="004D7EB1" w:rsidRPr="00625C35" w:rsidRDefault="004D7EB1" w:rsidP="00CC3A97">
      <w:pPr>
        <w:pStyle w:val="Default"/>
        <w:rPr>
          <w:sz w:val="20"/>
          <w:szCs w:val="20"/>
        </w:rPr>
      </w:pPr>
    </w:p>
    <w:p w14:paraId="6FA7D3D5" w14:textId="77777777" w:rsidR="004D7EB1" w:rsidRPr="00625C35" w:rsidRDefault="004D7EB1" w:rsidP="00CC3A97">
      <w:pPr>
        <w:pStyle w:val="Default"/>
        <w:rPr>
          <w:sz w:val="20"/>
          <w:szCs w:val="20"/>
        </w:rPr>
      </w:pPr>
      <w:r w:rsidRPr="00625C35">
        <w:rPr>
          <w:sz w:val="20"/>
          <w:szCs w:val="20"/>
        </w:rPr>
        <w:t>If the result is tied, the Council will maintain the status quo and continue to run the election process.</w:t>
      </w:r>
    </w:p>
    <w:p w14:paraId="147680AD" w14:textId="77777777" w:rsidR="004D7EB1" w:rsidRPr="00625C35" w:rsidRDefault="004D7EB1" w:rsidP="00CC3A97">
      <w:pPr>
        <w:pStyle w:val="Default"/>
        <w:rPr>
          <w:sz w:val="20"/>
          <w:szCs w:val="20"/>
        </w:rPr>
      </w:pPr>
      <w:r w:rsidRPr="00625C35">
        <w:rPr>
          <w:sz w:val="20"/>
          <w:szCs w:val="20"/>
        </w:rPr>
        <w:t xml:space="preserve"> </w:t>
      </w:r>
    </w:p>
    <w:p w14:paraId="21332EB6" w14:textId="77777777" w:rsidR="004D7EB1" w:rsidRPr="00625C35" w:rsidRDefault="004D7EB1" w:rsidP="00CC3A97">
      <w:pPr>
        <w:pStyle w:val="Default"/>
        <w:rPr>
          <w:b/>
          <w:bCs/>
          <w:sz w:val="20"/>
          <w:szCs w:val="20"/>
        </w:rPr>
      </w:pPr>
      <w:r w:rsidRPr="00625C35">
        <w:rPr>
          <w:b/>
          <w:bCs/>
          <w:sz w:val="20"/>
          <w:szCs w:val="20"/>
        </w:rPr>
        <w:t>Co-option of Chair or Vice Chair</w:t>
      </w:r>
    </w:p>
    <w:p w14:paraId="4393C8FE" w14:textId="7C130107" w:rsidR="004D7EB1" w:rsidRPr="00625C35" w:rsidRDefault="004D7EB1" w:rsidP="00CC3A97">
      <w:pPr>
        <w:pStyle w:val="Default"/>
        <w:rPr>
          <w:sz w:val="20"/>
          <w:szCs w:val="20"/>
        </w:rPr>
      </w:pPr>
      <w:r w:rsidRPr="00625C35">
        <w:rPr>
          <w:sz w:val="20"/>
          <w:szCs w:val="20"/>
        </w:rPr>
        <w:t>If, after a call for nominations, there are no nominations for Ch</w:t>
      </w:r>
      <w:r w:rsidR="0041584C" w:rsidRPr="00625C35">
        <w:rPr>
          <w:sz w:val="20"/>
          <w:szCs w:val="20"/>
        </w:rPr>
        <w:t>air and/or Vice-</w:t>
      </w:r>
      <w:r w:rsidRPr="00625C35">
        <w:rPr>
          <w:sz w:val="20"/>
          <w:szCs w:val="20"/>
        </w:rPr>
        <w:t xml:space="preserve">Chair, the Council may co-opt </w:t>
      </w:r>
      <w:r w:rsidR="00C8080B" w:rsidRPr="00625C35">
        <w:rPr>
          <w:sz w:val="20"/>
          <w:szCs w:val="20"/>
        </w:rPr>
        <w:t xml:space="preserve">an individual </w:t>
      </w:r>
      <w:r w:rsidRPr="00625C35">
        <w:rPr>
          <w:sz w:val="20"/>
          <w:szCs w:val="20"/>
        </w:rPr>
        <w:t>to either role for a maximum of one year</w:t>
      </w:r>
      <w:r w:rsidR="00C8080B" w:rsidRPr="00625C35">
        <w:rPr>
          <w:sz w:val="20"/>
          <w:szCs w:val="20"/>
        </w:rPr>
        <w:t xml:space="preserve"> </w:t>
      </w:r>
      <w:proofErr w:type="gramStart"/>
      <w:r w:rsidR="00C8080B" w:rsidRPr="00625C35">
        <w:rPr>
          <w:sz w:val="20"/>
          <w:szCs w:val="20"/>
        </w:rPr>
        <w:t>on the basis of</w:t>
      </w:r>
      <w:proofErr w:type="gramEnd"/>
      <w:r w:rsidR="00C8080B" w:rsidRPr="00625C35">
        <w:rPr>
          <w:sz w:val="20"/>
          <w:szCs w:val="20"/>
        </w:rPr>
        <w:t xml:space="preserve"> a simple majority vote if necessary</w:t>
      </w:r>
      <w:r w:rsidRPr="00625C35">
        <w:rPr>
          <w:sz w:val="20"/>
          <w:szCs w:val="20"/>
        </w:rPr>
        <w:t xml:space="preserve">.  </w:t>
      </w:r>
    </w:p>
    <w:p w14:paraId="1792A00D" w14:textId="77777777" w:rsidR="004D7EB1" w:rsidRPr="00625C35" w:rsidRDefault="004D7EB1" w:rsidP="00CC3A97">
      <w:pPr>
        <w:pStyle w:val="Default"/>
        <w:rPr>
          <w:bCs/>
          <w:sz w:val="20"/>
          <w:szCs w:val="20"/>
        </w:rPr>
      </w:pPr>
    </w:p>
    <w:p w14:paraId="6F12DC26" w14:textId="77777777" w:rsidR="004D7EB1" w:rsidRPr="00625C35" w:rsidRDefault="004D7EB1" w:rsidP="00CC3A97">
      <w:pPr>
        <w:pStyle w:val="Default"/>
        <w:rPr>
          <w:bCs/>
          <w:sz w:val="20"/>
          <w:szCs w:val="20"/>
        </w:rPr>
      </w:pPr>
      <w:r w:rsidRPr="00625C35">
        <w:rPr>
          <w:bCs/>
          <w:sz w:val="20"/>
          <w:szCs w:val="20"/>
        </w:rPr>
        <w:t>One or more Member Organisations may propose a co-option who will either already represent or be eligible to represent one of the Member Organisations.  It is not necessary for them to have previously served a two-year term of office on the Council.</w:t>
      </w:r>
    </w:p>
    <w:p w14:paraId="41949E4F" w14:textId="77777777" w:rsidR="004D7EB1" w:rsidRPr="00625C35" w:rsidRDefault="004D7EB1" w:rsidP="00CC3A97">
      <w:pPr>
        <w:pStyle w:val="Default"/>
        <w:rPr>
          <w:bCs/>
          <w:sz w:val="20"/>
          <w:szCs w:val="20"/>
        </w:rPr>
      </w:pPr>
    </w:p>
    <w:p w14:paraId="7D8A03F4" w14:textId="77777777" w:rsidR="004D7EB1" w:rsidRPr="00625C35" w:rsidRDefault="004D7EB1" w:rsidP="00CC3A97">
      <w:pPr>
        <w:pStyle w:val="Default"/>
        <w:rPr>
          <w:bCs/>
          <w:sz w:val="20"/>
          <w:szCs w:val="20"/>
        </w:rPr>
      </w:pPr>
      <w:r w:rsidRPr="00625C35">
        <w:rPr>
          <w:bCs/>
          <w:sz w:val="20"/>
          <w:szCs w:val="20"/>
        </w:rPr>
        <w:t>Members’ representatives will be asked to vote via an online survey, which will be administered by the Secretariat.  The voting period will be no longer than 5 working days and each representative will have one vote.  The final decision will be taken by simple majority. The result will be announced immediately by the Secretariat by email and will be recorded for transparency.</w:t>
      </w:r>
    </w:p>
    <w:p w14:paraId="32C69DE1" w14:textId="77777777" w:rsidR="004D7EB1" w:rsidRPr="00625C35" w:rsidRDefault="004D7EB1" w:rsidP="00CC3A97">
      <w:pPr>
        <w:pStyle w:val="Default"/>
        <w:rPr>
          <w:bCs/>
          <w:sz w:val="20"/>
          <w:szCs w:val="20"/>
        </w:rPr>
      </w:pPr>
    </w:p>
    <w:p w14:paraId="08A38C7F" w14:textId="178B68C0" w:rsidR="004D7EB1" w:rsidRPr="00625C35" w:rsidRDefault="004D7EB1" w:rsidP="00CC3A97">
      <w:pPr>
        <w:pStyle w:val="Default"/>
        <w:rPr>
          <w:bCs/>
          <w:sz w:val="20"/>
          <w:szCs w:val="20"/>
        </w:rPr>
      </w:pPr>
      <w:r w:rsidRPr="00625C35">
        <w:rPr>
          <w:bCs/>
          <w:sz w:val="20"/>
          <w:szCs w:val="20"/>
        </w:rPr>
        <w:t xml:space="preserve">If the result is tied, a second round of voting will take place </w:t>
      </w:r>
      <w:r w:rsidR="00C8080B" w:rsidRPr="00625C35">
        <w:rPr>
          <w:bCs/>
          <w:sz w:val="20"/>
          <w:szCs w:val="20"/>
        </w:rPr>
        <w:t xml:space="preserve">between </w:t>
      </w:r>
      <w:r w:rsidRPr="00625C35">
        <w:rPr>
          <w:bCs/>
          <w:sz w:val="20"/>
          <w:szCs w:val="20"/>
        </w:rPr>
        <w:t xml:space="preserve">the tied candidates. If there is still a tie, the co-option will not have been approved. </w:t>
      </w:r>
    </w:p>
    <w:p w14:paraId="3A04B230" w14:textId="2F5EDB7D" w:rsidR="00897FED" w:rsidRPr="00625C35" w:rsidRDefault="00897FED" w:rsidP="00CC3A97">
      <w:pPr>
        <w:pStyle w:val="CommentText"/>
        <w:spacing w:line="240" w:lineRule="auto"/>
        <w:rPr>
          <w:rFonts w:ascii="Arial" w:hAnsi="Arial" w:cs="Arial"/>
          <w:b/>
        </w:rPr>
      </w:pPr>
    </w:p>
    <w:p w14:paraId="7FBE25A7" w14:textId="4F2F98A9" w:rsidR="002D3054" w:rsidRPr="00625C35" w:rsidRDefault="00CD7E0C" w:rsidP="00CC3A97">
      <w:pPr>
        <w:pStyle w:val="Default"/>
        <w:rPr>
          <w:sz w:val="20"/>
          <w:szCs w:val="20"/>
        </w:rPr>
      </w:pPr>
      <w:r w:rsidRPr="00625C35">
        <w:rPr>
          <w:b/>
          <w:bCs/>
          <w:sz w:val="20"/>
          <w:szCs w:val="20"/>
        </w:rPr>
        <w:t xml:space="preserve">Working methods </w:t>
      </w:r>
    </w:p>
    <w:p w14:paraId="3CB77D44" w14:textId="306740DF" w:rsidR="002D3054" w:rsidRPr="00625C35" w:rsidRDefault="00CD7E0C" w:rsidP="00CC3A97">
      <w:pPr>
        <w:pStyle w:val="Default"/>
        <w:rPr>
          <w:sz w:val="20"/>
          <w:szCs w:val="20"/>
        </w:rPr>
      </w:pPr>
      <w:r w:rsidRPr="00625C35">
        <w:rPr>
          <w:sz w:val="20"/>
          <w:szCs w:val="20"/>
        </w:rPr>
        <w:t xml:space="preserve">The </w:t>
      </w:r>
      <w:r w:rsidR="005F237E" w:rsidRPr="00625C35">
        <w:rPr>
          <w:sz w:val="20"/>
          <w:szCs w:val="20"/>
        </w:rPr>
        <w:t xml:space="preserve">Clinical </w:t>
      </w:r>
      <w:r w:rsidRPr="00625C35">
        <w:rPr>
          <w:sz w:val="20"/>
          <w:szCs w:val="20"/>
        </w:rPr>
        <w:t xml:space="preserve">Council will </w:t>
      </w:r>
      <w:r w:rsidR="005F237E" w:rsidRPr="00625C35">
        <w:rPr>
          <w:sz w:val="20"/>
          <w:szCs w:val="20"/>
        </w:rPr>
        <w:t xml:space="preserve">operate through evidence-based </w:t>
      </w:r>
      <w:r w:rsidR="00F852F5" w:rsidRPr="00625C35">
        <w:rPr>
          <w:sz w:val="20"/>
          <w:szCs w:val="20"/>
        </w:rPr>
        <w:t>consensus to</w:t>
      </w:r>
      <w:r w:rsidR="002D3054" w:rsidRPr="00625C35">
        <w:rPr>
          <w:sz w:val="20"/>
          <w:szCs w:val="20"/>
        </w:rPr>
        <w:t xml:space="preserve"> ensure that its advice reflects the combined expertise of its constituent bodies. </w:t>
      </w:r>
    </w:p>
    <w:p w14:paraId="770D9EF7" w14:textId="77777777" w:rsidR="007A0816" w:rsidRPr="00625C35" w:rsidRDefault="007A0816" w:rsidP="00CC3A97">
      <w:pPr>
        <w:pStyle w:val="Default"/>
        <w:rPr>
          <w:sz w:val="20"/>
          <w:szCs w:val="20"/>
        </w:rPr>
      </w:pPr>
    </w:p>
    <w:p w14:paraId="664D6E72" w14:textId="1AE34A68" w:rsidR="005F237E" w:rsidRPr="00625C35" w:rsidRDefault="002D3054" w:rsidP="00CC3A97">
      <w:pPr>
        <w:pStyle w:val="Default"/>
        <w:rPr>
          <w:sz w:val="20"/>
          <w:szCs w:val="20"/>
        </w:rPr>
      </w:pPr>
      <w:r w:rsidRPr="00625C35">
        <w:rPr>
          <w:sz w:val="20"/>
          <w:szCs w:val="20"/>
        </w:rPr>
        <w:lastRenderedPageBreak/>
        <w:t xml:space="preserve">The </w:t>
      </w:r>
      <w:r w:rsidR="005F237E" w:rsidRPr="00625C35">
        <w:rPr>
          <w:sz w:val="20"/>
          <w:szCs w:val="20"/>
        </w:rPr>
        <w:t xml:space="preserve">Clinical </w:t>
      </w:r>
      <w:r w:rsidRPr="00625C35">
        <w:rPr>
          <w:sz w:val="20"/>
          <w:szCs w:val="20"/>
        </w:rPr>
        <w:t xml:space="preserve">Council will endeavour to arrive at all decisions by unanimous agreement but when this is not </w:t>
      </w:r>
      <w:r w:rsidR="00F852F5" w:rsidRPr="00625C35">
        <w:rPr>
          <w:sz w:val="20"/>
          <w:szCs w:val="20"/>
        </w:rPr>
        <w:t>possible,</w:t>
      </w:r>
      <w:r w:rsidRPr="00625C35">
        <w:rPr>
          <w:sz w:val="20"/>
          <w:szCs w:val="20"/>
        </w:rPr>
        <w:t xml:space="preserve"> the view of the majority will prevail and will be adhered to by all members. </w:t>
      </w:r>
      <w:r w:rsidR="005F237E" w:rsidRPr="00625C35">
        <w:rPr>
          <w:sz w:val="20"/>
          <w:szCs w:val="20"/>
        </w:rPr>
        <w:t xml:space="preserve">Where differences arise, these shall be recorded in the </w:t>
      </w:r>
      <w:r w:rsidR="00C8080B" w:rsidRPr="00625C35">
        <w:rPr>
          <w:sz w:val="20"/>
          <w:szCs w:val="20"/>
        </w:rPr>
        <w:t xml:space="preserve">minutes </w:t>
      </w:r>
      <w:r w:rsidR="005F237E" w:rsidRPr="00625C35">
        <w:rPr>
          <w:sz w:val="20"/>
          <w:szCs w:val="20"/>
        </w:rPr>
        <w:t>of meetings for transparency.</w:t>
      </w:r>
    </w:p>
    <w:p w14:paraId="4392F5F6" w14:textId="77777777" w:rsidR="005F237E" w:rsidRPr="00625C35" w:rsidRDefault="005F237E" w:rsidP="00CC3A97">
      <w:pPr>
        <w:pStyle w:val="Default"/>
        <w:rPr>
          <w:sz w:val="20"/>
          <w:szCs w:val="20"/>
        </w:rPr>
      </w:pPr>
    </w:p>
    <w:p w14:paraId="77F2C371" w14:textId="54AD565E" w:rsidR="005F237E" w:rsidRPr="00625C35" w:rsidRDefault="005F237E" w:rsidP="00CC3A97">
      <w:pPr>
        <w:pStyle w:val="Default"/>
        <w:rPr>
          <w:sz w:val="20"/>
          <w:szCs w:val="20"/>
        </w:rPr>
      </w:pPr>
      <w:r w:rsidRPr="00625C35">
        <w:rPr>
          <w:sz w:val="20"/>
          <w:szCs w:val="20"/>
        </w:rPr>
        <w:t xml:space="preserve">The Clinical Council shall </w:t>
      </w:r>
      <w:r w:rsidR="00684980" w:rsidRPr="00625C35">
        <w:rPr>
          <w:sz w:val="20"/>
          <w:szCs w:val="20"/>
        </w:rPr>
        <w:t>meet a minimum of twice a year.</w:t>
      </w:r>
    </w:p>
    <w:p w14:paraId="3740C787" w14:textId="77777777" w:rsidR="005F237E" w:rsidRPr="00625C35" w:rsidRDefault="005F237E" w:rsidP="00CC3A97">
      <w:pPr>
        <w:pStyle w:val="Default"/>
        <w:rPr>
          <w:sz w:val="20"/>
          <w:szCs w:val="20"/>
        </w:rPr>
      </w:pPr>
    </w:p>
    <w:p w14:paraId="4B335B16" w14:textId="77777777" w:rsidR="00577705" w:rsidRPr="00625C35" w:rsidRDefault="00577705" w:rsidP="00CC3A97">
      <w:pPr>
        <w:pStyle w:val="Default"/>
        <w:rPr>
          <w:sz w:val="20"/>
          <w:szCs w:val="20"/>
        </w:rPr>
      </w:pPr>
      <w:r w:rsidRPr="00625C35">
        <w:rPr>
          <w:b/>
          <w:bCs/>
          <w:sz w:val="20"/>
          <w:szCs w:val="20"/>
        </w:rPr>
        <w:t xml:space="preserve">Governance and Accountability </w:t>
      </w:r>
    </w:p>
    <w:p w14:paraId="0C3A3B0E" w14:textId="5E6843B9" w:rsidR="00577705" w:rsidRPr="00625C35" w:rsidRDefault="00577705" w:rsidP="00CC3A97">
      <w:pPr>
        <w:pStyle w:val="Default"/>
        <w:rPr>
          <w:sz w:val="20"/>
          <w:szCs w:val="20"/>
        </w:rPr>
      </w:pPr>
      <w:r w:rsidRPr="00625C35">
        <w:rPr>
          <w:sz w:val="20"/>
          <w:szCs w:val="20"/>
        </w:rPr>
        <w:t xml:space="preserve">Members of the Clinical Council are representatives of the body or sector which nominates them and responsible for reporting and accountability to that body/sector. </w:t>
      </w:r>
    </w:p>
    <w:p w14:paraId="25E3AC98" w14:textId="77777777" w:rsidR="005F5AE7" w:rsidRPr="00625C35" w:rsidRDefault="005F5AE7" w:rsidP="00CC3A97">
      <w:pPr>
        <w:pStyle w:val="Default"/>
        <w:rPr>
          <w:sz w:val="20"/>
          <w:szCs w:val="20"/>
        </w:rPr>
      </w:pPr>
    </w:p>
    <w:p w14:paraId="2A60F738" w14:textId="77777777" w:rsidR="00577705" w:rsidRPr="00625C35" w:rsidRDefault="00577705" w:rsidP="00CC3A97">
      <w:pPr>
        <w:pStyle w:val="Default"/>
        <w:rPr>
          <w:sz w:val="20"/>
          <w:szCs w:val="20"/>
        </w:rPr>
      </w:pPr>
      <w:r w:rsidRPr="00625C35">
        <w:rPr>
          <w:sz w:val="20"/>
          <w:szCs w:val="20"/>
        </w:rPr>
        <w:t>Member organisations to provide details on:</w:t>
      </w:r>
    </w:p>
    <w:p w14:paraId="64F8FB6E" w14:textId="77777777" w:rsidR="00577705" w:rsidRPr="00625C35" w:rsidRDefault="00577705" w:rsidP="00CC3A97">
      <w:pPr>
        <w:pStyle w:val="Default"/>
        <w:numPr>
          <w:ilvl w:val="0"/>
          <w:numId w:val="5"/>
        </w:numPr>
        <w:rPr>
          <w:sz w:val="20"/>
          <w:szCs w:val="20"/>
        </w:rPr>
      </w:pPr>
      <w:r w:rsidRPr="00625C35">
        <w:rPr>
          <w:sz w:val="20"/>
          <w:szCs w:val="20"/>
        </w:rPr>
        <w:t>Their internal arrangements for receiving and acting on reports from their representatives to the Clinical Council</w:t>
      </w:r>
    </w:p>
    <w:p w14:paraId="3ED28DDE" w14:textId="77777777" w:rsidR="00577705" w:rsidRPr="00625C35" w:rsidRDefault="00577705" w:rsidP="00CC3A97">
      <w:pPr>
        <w:pStyle w:val="Default"/>
        <w:numPr>
          <w:ilvl w:val="0"/>
          <w:numId w:val="5"/>
        </w:numPr>
        <w:rPr>
          <w:sz w:val="20"/>
          <w:szCs w:val="20"/>
        </w:rPr>
      </w:pPr>
      <w:r w:rsidRPr="00625C35">
        <w:rPr>
          <w:sz w:val="20"/>
          <w:szCs w:val="20"/>
        </w:rPr>
        <w:t xml:space="preserve">How Clinical Council functions, activity and outputs are incorporated into their operational </w:t>
      </w:r>
      <w:proofErr w:type="gramStart"/>
      <w:r w:rsidRPr="00625C35">
        <w:rPr>
          <w:sz w:val="20"/>
          <w:szCs w:val="20"/>
        </w:rPr>
        <w:t>processes, and</w:t>
      </w:r>
      <w:proofErr w:type="gramEnd"/>
      <w:r w:rsidRPr="00625C35">
        <w:rPr>
          <w:sz w:val="20"/>
          <w:szCs w:val="20"/>
        </w:rPr>
        <w:t xml:space="preserve"> disseminated to their professional membership.</w:t>
      </w:r>
    </w:p>
    <w:p w14:paraId="28731279" w14:textId="77777777" w:rsidR="005F5AE7" w:rsidRPr="00625C35" w:rsidRDefault="005F5AE7" w:rsidP="00CC3A97">
      <w:pPr>
        <w:pStyle w:val="Default"/>
        <w:rPr>
          <w:sz w:val="20"/>
          <w:szCs w:val="20"/>
        </w:rPr>
      </w:pPr>
    </w:p>
    <w:p w14:paraId="61986307" w14:textId="77777777" w:rsidR="002417AD" w:rsidRPr="00625C35" w:rsidRDefault="002417AD" w:rsidP="00CC3A97">
      <w:pPr>
        <w:pStyle w:val="Default"/>
        <w:rPr>
          <w:b/>
          <w:sz w:val="20"/>
          <w:szCs w:val="20"/>
        </w:rPr>
      </w:pPr>
      <w:r w:rsidRPr="00625C35">
        <w:rPr>
          <w:b/>
          <w:sz w:val="20"/>
          <w:szCs w:val="20"/>
        </w:rPr>
        <w:t>Secretariat</w:t>
      </w:r>
    </w:p>
    <w:p w14:paraId="2E1BF0CA" w14:textId="71BF83B0" w:rsidR="002D3054" w:rsidRPr="00625C35" w:rsidRDefault="002D3054" w:rsidP="00CC3A97">
      <w:pPr>
        <w:pStyle w:val="Default"/>
        <w:rPr>
          <w:sz w:val="20"/>
          <w:szCs w:val="20"/>
        </w:rPr>
      </w:pPr>
      <w:r w:rsidRPr="00625C35">
        <w:rPr>
          <w:sz w:val="20"/>
          <w:szCs w:val="20"/>
        </w:rPr>
        <w:t xml:space="preserve">The Royal College of Ophthalmologists and College of Optometrists </w:t>
      </w:r>
      <w:r w:rsidR="002417AD" w:rsidRPr="00625C35">
        <w:rPr>
          <w:sz w:val="20"/>
          <w:szCs w:val="20"/>
        </w:rPr>
        <w:t xml:space="preserve">to </w:t>
      </w:r>
      <w:r w:rsidRPr="00625C35">
        <w:rPr>
          <w:sz w:val="20"/>
          <w:szCs w:val="20"/>
        </w:rPr>
        <w:t xml:space="preserve">provide the secretariat for the </w:t>
      </w:r>
      <w:r w:rsidR="002417AD" w:rsidRPr="00625C35">
        <w:rPr>
          <w:sz w:val="20"/>
          <w:szCs w:val="20"/>
        </w:rPr>
        <w:t xml:space="preserve">Clinical Council </w:t>
      </w:r>
      <w:r w:rsidRPr="00625C35">
        <w:rPr>
          <w:sz w:val="20"/>
          <w:szCs w:val="20"/>
        </w:rPr>
        <w:t xml:space="preserve">by agreement between the two organisations. </w:t>
      </w:r>
    </w:p>
    <w:p w14:paraId="00F148C8" w14:textId="77777777" w:rsidR="005F5AE7" w:rsidRPr="00625C35" w:rsidRDefault="005F5AE7" w:rsidP="00CC3A97">
      <w:pPr>
        <w:pStyle w:val="Default"/>
        <w:rPr>
          <w:b/>
          <w:bCs/>
          <w:sz w:val="20"/>
          <w:szCs w:val="20"/>
        </w:rPr>
      </w:pPr>
    </w:p>
    <w:p w14:paraId="2CBF9109" w14:textId="77777777" w:rsidR="00097C70" w:rsidRPr="00625C35" w:rsidRDefault="00097C70" w:rsidP="00CC3A97">
      <w:pPr>
        <w:pStyle w:val="Default"/>
        <w:rPr>
          <w:b/>
          <w:bCs/>
          <w:sz w:val="20"/>
          <w:szCs w:val="20"/>
        </w:rPr>
      </w:pPr>
    </w:p>
    <w:p w14:paraId="4381DA80" w14:textId="722E97F1" w:rsidR="002D3054" w:rsidRPr="00625C35" w:rsidRDefault="002D3054" w:rsidP="00CC3A97">
      <w:pPr>
        <w:pStyle w:val="Default"/>
        <w:rPr>
          <w:sz w:val="20"/>
          <w:szCs w:val="20"/>
        </w:rPr>
      </w:pPr>
      <w:r w:rsidRPr="00625C35">
        <w:rPr>
          <w:b/>
          <w:bCs/>
          <w:sz w:val="20"/>
          <w:szCs w:val="20"/>
        </w:rPr>
        <w:t xml:space="preserve">Managing conflicts of interest </w:t>
      </w:r>
    </w:p>
    <w:p w14:paraId="67A84308" w14:textId="2DDF3969" w:rsidR="002D3054" w:rsidRPr="00625C35" w:rsidRDefault="002D3054" w:rsidP="00CC3A97">
      <w:pPr>
        <w:pStyle w:val="Default"/>
        <w:rPr>
          <w:sz w:val="20"/>
          <w:szCs w:val="20"/>
        </w:rPr>
      </w:pPr>
      <w:r w:rsidRPr="00625C35">
        <w:rPr>
          <w:sz w:val="20"/>
          <w:szCs w:val="20"/>
        </w:rPr>
        <w:t xml:space="preserve">The </w:t>
      </w:r>
      <w:r w:rsidR="002417AD" w:rsidRPr="00625C35">
        <w:rPr>
          <w:sz w:val="20"/>
          <w:szCs w:val="20"/>
        </w:rPr>
        <w:t xml:space="preserve">Clinical </w:t>
      </w:r>
      <w:r w:rsidRPr="00625C35">
        <w:rPr>
          <w:sz w:val="20"/>
          <w:szCs w:val="20"/>
        </w:rPr>
        <w:t xml:space="preserve">Council </w:t>
      </w:r>
      <w:r w:rsidR="00362A0E" w:rsidRPr="00625C35">
        <w:rPr>
          <w:sz w:val="20"/>
          <w:szCs w:val="20"/>
        </w:rPr>
        <w:t xml:space="preserve">will </w:t>
      </w:r>
      <w:r w:rsidRPr="00625C35">
        <w:rPr>
          <w:sz w:val="20"/>
          <w:szCs w:val="20"/>
        </w:rPr>
        <w:t xml:space="preserve">publish </w:t>
      </w:r>
      <w:r w:rsidR="002417AD" w:rsidRPr="00625C35">
        <w:rPr>
          <w:sz w:val="20"/>
          <w:szCs w:val="20"/>
        </w:rPr>
        <w:t xml:space="preserve">a </w:t>
      </w:r>
      <w:r w:rsidRPr="00625C35">
        <w:rPr>
          <w:sz w:val="20"/>
          <w:szCs w:val="20"/>
        </w:rPr>
        <w:t xml:space="preserve">conflicts of interest policy applying to both individuals and organisations. </w:t>
      </w:r>
      <w:r w:rsidR="002417AD" w:rsidRPr="00625C35">
        <w:rPr>
          <w:sz w:val="20"/>
          <w:szCs w:val="20"/>
        </w:rPr>
        <w:t>A register of members’ interests to be maintained with a requirement for declarations of interest to be flagged prior to discussion on conflicted items.</w:t>
      </w:r>
    </w:p>
    <w:p w14:paraId="3D2069BD" w14:textId="77777777" w:rsidR="005F5AE7" w:rsidRPr="00625C35" w:rsidRDefault="005F5AE7" w:rsidP="00CC3A97">
      <w:pPr>
        <w:pStyle w:val="Default"/>
        <w:rPr>
          <w:b/>
          <w:bCs/>
          <w:sz w:val="20"/>
          <w:szCs w:val="20"/>
        </w:rPr>
      </w:pPr>
    </w:p>
    <w:p w14:paraId="1F855DB7" w14:textId="77777777" w:rsidR="002D3054" w:rsidRPr="00625C35" w:rsidRDefault="002D3054" w:rsidP="00CC3A97">
      <w:pPr>
        <w:pStyle w:val="Default"/>
        <w:rPr>
          <w:sz w:val="20"/>
          <w:szCs w:val="20"/>
        </w:rPr>
      </w:pPr>
      <w:r w:rsidRPr="00625C35">
        <w:rPr>
          <w:b/>
          <w:bCs/>
          <w:sz w:val="20"/>
          <w:szCs w:val="20"/>
        </w:rPr>
        <w:t xml:space="preserve">Outputs </w:t>
      </w:r>
    </w:p>
    <w:p w14:paraId="5A68F817" w14:textId="7F767DFB" w:rsidR="005F5AE7" w:rsidRPr="00625C35" w:rsidRDefault="002D3054" w:rsidP="00CC3A97">
      <w:pPr>
        <w:pStyle w:val="Default"/>
        <w:rPr>
          <w:sz w:val="20"/>
          <w:szCs w:val="20"/>
        </w:rPr>
      </w:pPr>
      <w:r w:rsidRPr="00625C35">
        <w:rPr>
          <w:sz w:val="20"/>
          <w:szCs w:val="20"/>
        </w:rPr>
        <w:t xml:space="preserve">Members will agree a rolling </w:t>
      </w:r>
      <w:r w:rsidR="00E23D4E" w:rsidRPr="00625C35">
        <w:rPr>
          <w:sz w:val="20"/>
          <w:szCs w:val="20"/>
        </w:rPr>
        <w:t>twelve-month</w:t>
      </w:r>
      <w:r w:rsidRPr="00625C35">
        <w:rPr>
          <w:sz w:val="20"/>
          <w:szCs w:val="20"/>
        </w:rPr>
        <w:t xml:space="preserve"> work programme of activities and desired outcomes, and progress will be reported on annually. In addition, the </w:t>
      </w:r>
      <w:r w:rsidR="007259BE" w:rsidRPr="00625C35">
        <w:rPr>
          <w:sz w:val="20"/>
          <w:szCs w:val="20"/>
        </w:rPr>
        <w:t xml:space="preserve">Clinical </w:t>
      </w:r>
      <w:r w:rsidRPr="00625C35">
        <w:rPr>
          <w:sz w:val="20"/>
          <w:szCs w:val="20"/>
        </w:rPr>
        <w:t xml:space="preserve">Council will respond to relevant issues as they arise or if asked to do so by NHS </w:t>
      </w:r>
      <w:r w:rsidR="007259BE" w:rsidRPr="00625C35">
        <w:rPr>
          <w:sz w:val="20"/>
          <w:szCs w:val="20"/>
        </w:rPr>
        <w:t xml:space="preserve">England, other NHS bodies, </w:t>
      </w:r>
      <w:r w:rsidRPr="00625C35">
        <w:rPr>
          <w:sz w:val="20"/>
          <w:szCs w:val="20"/>
        </w:rPr>
        <w:t xml:space="preserve">or </w:t>
      </w:r>
      <w:r w:rsidR="007259BE" w:rsidRPr="00625C35">
        <w:rPr>
          <w:sz w:val="20"/>
          <w:szCs w:val="20"/>
        </w:rPr>
        <w:t xml:space="preserve">the </w:t>
      </w:r>
      <w:r w:rsidRPr="00625C35">
        <w:rPr>
          <w:sz w:val="20"/>
          <w:szCs w:val="20"/>
        </w:rPr>
        <w:t>Department of Health</w:t>
      </w:r>
      <w:r w:rsidR="007259BE" w:rsidRPr="00625C35">
        <w:rPr>
          <w:sz w:val="20"/>
          <w:szCs w:val="20"/>
        </w:rPr>
        <w:t xml:space="preserve"> and Social Care</w:t>
      </w:r>
      <w:r w:rsidRPr="00625C35">
        <w:rPr>
          <w:sz w:val="20"/>
          <w:szCs w:val="20"/>
        </w:rPr>
        <w:t xml:space="preserve">. </w:t>
      </w:r>
    </w:p>
    <w:p w14:paraId="0802768E" w14:textId="77777777" w:rsidR="005F5AE7" w:rsidRPr="00625C35" w:rsidRDefault="005F5AE7" w:rsidP="00CC3A97">
      <w:pPr>
        <w:pStyle w:val="Default"/>
        <w:rPr>
          <w:sz w:val="20"/>
          <w:szCs w:val="20"/>
        </w:rPr>
      </w:pPr>
    </w:p>
    <w:p w14:paraId="618AE426" w14:textId="77777777" w:rsidR="002D3054" w:rsidRPr="00625C35" w:rsidRDefault="002D3054" w:rsidP="00CC3A97">
      <w:pPr>
        <w:pStyle w:val="Default"/>
        <w:rPr>
          <w:sz w:val="20"/>
          <w:szCs w:val="20"/>
        </w:rPr>
      </w:pPr>
      <w:r w:rsidRPr="00625C35">
        <w:rPr>
          <w:b/>
          <w:bCs/>
          <w:sz w:val="20"/>
          <w:szCs w:val="20"/>
        </w:rPr>
        <w:t xml:space="preserve">Fees and Expenses </w:t>
      </w:r>
    </w:p>
    <w:p w14:paraId="285F7959" w14:textId="457B108B" w:rsidR="002D3054" w:rsidRPr="00625C35" w:rsidRDefault="002D3054" w:rsidP="00CC3A97">
      <w:pPr>
        <w:pStyle w:val="Default"/>
        <w:rPr>
          <w:sz w:val="20"/>
          <w:szCs w:val="20"/>
        </w:rPr>
      </w:pPr>
      <w:r w:rsidRPr="00625C35">
        <w:rPr>
          <w:sz w:val="20"/>
          <w:szCs w:val="20"/>
        </w:rPr>
        <w:t xml:space="preserve">Members are not paid fees. Expenses </w:t>
      </w:r>
      <w:r w:rsidR="00362A0E" w:rsidRPr="00625C35">
        <w:rPr>
          <w:sz w:val="20"/>
          <w:szCs w:val="20"/>
        </w:rPr>
        <w:t xml:space="preserve">will </w:t>
      </w:r>
      <w:r w:rsidRPr="00625C35">
        <w:rPr>
          <w:sz w:val="20"/>
          <w:szCs w:val="20"/>
        </w:rPr>
        <w:t xml:space="preserve">be claimed from the nominating organisation in accordance with their own protocols in force at the time. </w:t>
      </w:r>
    </w:p>
    <w:p w14:paraId="71BF0240" w14:textId="77777777" w:rsidR="005F5AE7" w:rsidRPr="00625C35" w:rsidRDefault="005F5AE7" w:rsidP="00CC3A97">
      <w:pPr>
        <w:pStyle w:val="Default"/>
        <w:rPr>
          <w:b/>
          <w:bCs/>
          <w:sz w:val="20"/>
          <w:szCs w:val="20"/>
        </w:rPr>
      </w:pPr>
    </w:p>
    <w:p w14:paraId="47C656EC" w14:textId="7B5B806C" w:rsidR="002D3054" w:rsidRPr="00625C35" w:rsidRDefault="00E23D4E" w:rsidP="00CC3A97">
      <w:pPr>
        <w:pStyle w:val="Default"/>
        <w:rPr>
          <w:sz w:val="20"/>
          <w:szCs w:val="20"/>
        </w:rPr>
      </w:pPr>
      <w:r w:rsidRPr="00625C35">
        <w:rPr>
          <w:b/>
          <w:bCs/>
          <w:sz w:val="20"/>
          <w:szCs w:val="20"/>
        </w:rPr>
        <w:t>Review</w:t>
      </w:r>
    </w:p>
    <w:p w14:paraId="1F017760" w14:textId="00EEF71C" w:rsidR="00F16570" w:rsidRPr="00625C35" w:rsidRDefault="002D3054" w:rsidP="00CC3A97">
      <w:pPr>
        <w:pStyle w:val="Default"/>
        <w:rPr>
          <w:sz w:val="20"/>
          <w:szCs w:val="20"/>
        </w:rPr>
      </w:pPr>
      <w:r w:rsidRPr="00625C35">
        <w:rPr>
          <w:sz w:val="20"/>
          <w:szCs w:val="20"/>
        </w:rPr>
        <w:t>The</w:t>
      </w:r>
      <w:r w:rsidR="00FA4ACA" w:rsidRPr="00625C35">
        <w:rPr>
          <w:sz w:val="20"/>
          <w:szCs w:val="20"/>
        </w:rPr>
        <w:t xml:space="preserve">se terms of Reference shall be </w:t>
      </w:r>
      <w:r w:rsidR="00E23D4E" w:rsidRPr="00625C35">
        <w:rPr>
          <w:sz w:val="20"/>
          <w:szCs w:val="20"/>
        </w:rPr>
        <w:t xml:space="preserve">reviewed </w:t>
      </w:r>
      <w:r w:rsidR="00E25BE9" w:rsidRPr="00625C35">
        <w:rPr>
          <w:color w:val="auto"/>
          <w:sz w:val="20"/>
          <w:szCs w:val="20"/>
        </w:rPr>
        <w:t xml:space="preserve">in one </w:t>
      </w:r>
      <w:r w:rsidRPr="00625C35">
        <w:rPr>
          <w:color w:val="auto"/>
          <w:sz w:val="20"/>
          <w:szCs w:val="20"/>
        </w:rPr>
        <w:t>year</w:t>
      </w:r>
      <w:r w:rsidR="00FA4ACA" w:rsidRPr="00625C35">
        <w:rPr>
          <w:sz w:val="20"/>
          <w:szCs w:val="20"/>
        </w:rPr>
        <w:t xml:space="preserve">. </w:t>
      </w:r>
      <w:r w:rsidRPr="00625C35">
        <w:rPr>
          <w:sz w:val="20"/>
          <w:szCs w:val="20"/>
        </w:rPr>
        <w:t xml:space="preserve"> </w:t>
      </w:r>
      <w:r w:rsidR="00FA4ACA" w:rsidRPr="00625C35">
        <w:rPr>
          <w:sz w:val="20"/>
          <w:szCs w:val="20"/>
        </w:rPr>
        <w:t>Agreement on these being</w:t>
      </w:r>
      <w:r w:rsidRPr="00625C35">
        <w:rPr>
          <w:sz w:val="20"/>
          <w:szCs w:val="20"/>
        </w:rPr>
        <w:t xml:space="preserve"> subject to the decision-making rules set out above.</w:t>
      </w:r>
    </w:p>
    <w:p w14:paraId="791C0CDB" w14:textId="77777777" w:rsidR="00F57D2F" w:rsidRPr="00625C35" w:rsidRDefault="00F57D2F" w:rsidP="00CC3A97">
      <w:pPr>
        <w:pStyle w:val="Default"/>
        <w:rPr>
          <w:sz w:val="20"/>
          <w:szCs w:val="20"/>
        </w:rPr>
      </w:pPr>
    </w:p>
    <w:p w14:paraId="10993171" w14:textId="77777777" w:rsidR="00F57D2F" w:rsidRPr="00625C35" w:rsidRDefault="00F57D2F" w:rsidP="00CC3A97">
      <w:pPr>
        <w:pStyle w:val="Default"/>
        <w:rPr>
          <w:color w:val="FF0000"/>
          <w:sz w:val="20"/>
          <w:szCs w:val="20"/>
        </w:rPr>
      </w:pPr>
    </w:p>
    <w:p w14:paraId="44262020" w14:textId="384A8136" w:rsidR="00F57D2F" w:rsidRPr="00625C35" w:rsidRDefault="00F57D2F" w:rsidP="00CC3A97">
      <w:pPr>
        <w:pStyle w:val="Default"/>
        <w:rPr>
          <w:color w:val="auto"/>
          <w:sz w:val="20"/>
          <w:szCs w:val="20"/>
        </w:rPr>
      </w:pPr>
    </w:p>
    <w:sectPr w:rsidR="00F57D2F" w:rsidRPr="00625C35" w:rsidSect="00D01D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DDF5" w14:textId="77777777" w:rsidR="00294BFA" w:rsidRDefault="00294BFA" w:rsidP="00D01DA7">
      <w:pPr>
        <w:spacing w:after="0" w:line="240" w:lineRule="auto"/>
      </w:pPr>
      <w:r>
        <w:separator/>
      </w:r>
    </w:p>
  </w:endnote>
  <w:endnote w:type="continuationSeparator" w:id="0">
    <w:p w14:paraId="37502CA0" w14:textId="77777777" w:rsidR="00294BFA" w:rsidRDefault="00294BFA" w:rsidP="00D0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168E" w14:textId="77777777" w:rsidR="00E50F84" w:rsidRDefault="00E50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8308"/>
      <w:docPartObj>
        <w:docPartGallery w:val="Page Numbers (Bottom of Page)"/>
        <w:docPartUnique/>
      </w:docPartObj>
    </w:sdtPr>
    <w:sdtEndPr>
      <w:rPr>
        <w:i/>
      </w:rPr>
    </w:sdtEndPr>
    <w:sdtContent>
      <w:sdt>
        <w:sdtPr>
          <w:id w:val="565050477"/>
          <w:docPartObj>
            <w:docPartGallery w:val="Page Numbers (Top of Page)"/>
            <w:docPartUnique/>
          </w:docPartObj>
        </w:sdtPr>
        <w:sdtEndPr>
          <w:rPr>
            <w:i/>
          </w:rPr>
        </w:sdtEndPr>
        <w:sdtContent>
          <w:p w14:paraId="22CAB8F5" w14:textId="77777777" w:rsidR="00D01DA7" w:rsidRDefault="00D01DA7" w:rsidP="00D01DA7">
            <w:pPr>
              <w:pStyle w:val="Footer"/>
              <w:jc w:val="right"/>
            </w:pPr>
          </w:p>
          <w:p w14:paraId="193AE788" w14:textId="77777777" w:rsidR="00D01DA7" w:rsidRDefault="00D01DA7">
            <w:pPr>
              <w:pStyle w:val="Footer"/>
              <w:jc w:val="center"/>
            </w:pPr>
          </w:p>
          <w:p w14:paraId="03D11D7C" w14:textId="665DA410" w:rsidR="00D01DA7" w:rsidRPr="00D01DA7" w:rsidRDefault="00D01DA7">
            <w:pPr>
              <w:pStyle w:val="Footer"/>
              <w:jc w:val="center"/>
              <w:rPr>
                <w:i/>
              </w:rPr>
            </w:pPr>
            <w:r w:rsidRPr="00D01DA7">
              <w:rPr>
                <w:i/>
              </w:rPr>
              <w:fldChar w:fldCharType="begin"/>
            </w:r>
            <w:r w:rsidRPr="00D01DA7">
              <w:rPr>
                <w:i/>
              </w:rPr>
              <w:instrText xml:space="preserve"> PAGE </w:instrText>
            </w:r>
            <w:r w:rsidRPr="00D01DA7">
              <w:rPr>
                <w:i/>
              </w:rPr>
              <w:fldChar w:fldCharType="separate"/>
            </w:r>
            <w:r w:rsidR="00BB12AB">
              <w:rPr>
                <w:i/>
                <w:noProof/>
              </w:rPr>
              <w:t>4</w:t>
            </w:r>
            <w:r w:rsidRPr="00D01DA7">
              <w:rPr>
                <w:i/>
              </w:rPr>
              <w:fldChar w:fldCharType="end"/>
            </w:r>
            <w:r w:rsidRPr="00D01DA7">
              <w:rPr>
                <w:i/>
              </w:rPr>
              <w:t xml:space="preserve"> of </w:t>
            </w:r>
            <w:r w:rsidRPr="00D01DA7">
              <w:rPr>
                <w:i/>
              </w:rPr>
              <w:fldChar w:fldCharType="begin"/>
            </w:r>
            <w:r w:rsidRPr="00D01DA7">
              <w:rPr>
                <w:i/>
              </w:rPr>
              <w:instrText xml:space="preserve"> NUMPAGES  </w:instrText>
            </w:r>
            <w:r w:rsidRPr="00D01DA7">
              <w:rPr>
                <w:i/>
              </w:rPr>
              <w:fldChar w:fldCharType="separate"/>
            </w:r>
            <w:r w:rsidR="00BB12AB">
              <w:rPr>
                <w:i/>
                <w:noProof/>
              </w:rPr>
              <w:t>4</w:t>
            </w:r>
            <w:r w:rsidRPr="00D01DA7">
              <w:rPr>
                <w:i/>
              </w:rPr>
              <w:fldChar w:fldCharType="end"/>
            </w:r>
          </w:p>
        </w:sdtContent>
      </w:sdt>
    </w:sdtContent>
  </w:sdt>
  <w:p w14:paraId="0864BFB2" w14:textId="77777777" w:rsidR="00D01DA7" w:rsidRDefault="00D01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0D46" w14:textId="77777777" w:rsidR="00E50F84" w:rsidRDefault="00E5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6455" w14:textId="77777777" w:rsidR="00294BFA" w:rsidRDefault="00294BFA" w:rsidP="00D01DA7">
      <w:pPr>
        <w:spacing w:after="0" w:line="240" w:lineRule="auto"/>
      </w:pPr>
      <w:r>
        <w:separator/>
      </w:r>
    </w:p>
  </w:footnote>
  <w:footnote w:type="continuationSeparator" w:id="0">
    <w:p w14:paraId="469DD059" w14:textId="77777777" w:rsidR="00294BFA" w:rsidRDefault="00294BFA" w:rsidP="00D0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6802" w14:textId="77777777" w:rsidR="00E50F84" w:rsidRDefault="00E50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A619" w14:textId="77777777" w:rsidR="00E50F84" w:rsidRDefault="00E50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8B1B" w14:textId="77777777" w:rsidR="00E50F84" w:rsidRDefault="00E50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1E7"/>
    <w:multiLevelType w:val="hybridMultilevel"/>
    <w:tmpl w:val="72688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D6296"/>
    <w:multiLevelType w:val="hybridMultilevel"/>
    <w:tmpl w:val="B2B69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61308"/>
    <w:multiLevelType w:val="hybridMultilevel"/>
    <w:tmpl w:val="7692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07E2E"/>
    <w:multiLevelType w:val="hybridMultilevel"/>
    <w:tmpl w:val="024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A6E8C"/>
    <w:multiLevelType w:val="hybridMultilevel"/>
    <w:tmpl w:val="0E402E28"/>
    <w:lvl w:ilvl="0" w:tplc="7760434E">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6E4E7F"/>
    <w:multiLevelType w:val="hybridMultilevel"/>
    <w:tmpl w:val="5DE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914798">
    <w:abstractNumId w:val="5"/>
  </w:num>
  <w:num w:numId="2" w16cid:durableId="553086002">
    <w:abstractNumId w:val="1"/>
  </w:num>
  <w:num w:numId="3" w16cid:durableId="1052075991">
    <w:abstractNumId w:val="0"/>
  </w:num>
  <w:num w:numId="4" w16cid:durableId="2032411512">
    <w:abstractNumId w:val="4"/>
  </w:num>
  <w:num w:numId="5" w16cid:durableId="1281912885">
    <w:abstractNumId w:val="3"/>
  </w:num>
  <w:num w:numId="6" w16cid:durableId="156860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54"/>
    <w:rsid w:val="00017B83"/>
    <w:rsid w:val="00020418"/>
    <w:rsid w:val="0006520F"/>
    <w:rsid w:val="00092D5E"/>
    <w:rsid w:val="00097C70"/>
    <w:rsid w:val="000A2CB6"/>
    <w:rsid w:val="000F5C16"/>
    <w:rsid w:val="00142A35"/>
    <w:rsid w:val="0015433C"/>
    <w:rsid w:val="00186E24"/>
    <w:rsid w:val="001B3076"/>
    <w:rsid w:val="001E448D"/>
    <w:rsid w:val="00220447"/>
    <w:rsid w:val="002417AD"/>
    <w:rsid w:val="00256B95"/>
    <w:rsid w:val="00284B13"/>
    <w:rsid w:val="002947E3"/>
    <w:rsid w:val="00294BFA"/>
    <w:rsid w:val="002B1599"/>
    <w:rsid w:val="002D3054"/>
    <w:rsid w:val="002F68CB"/>
    <w:rsid w:val="003014C5"/>
    <w:rsid w:val="00312947"/>
    <w:rsid w:val="00343926"/>
    <w:rsid w:val="003479F3"/>
    <w:rsid w:val="00362A0E"/>
    <w:rsid w:val="00375289"/>
    <w:rsid w:val="003A10E7"/>
    <w:rsid w:val="003C5C93"/>
    <w:rsid w:val="003E6518"/>
    <w:rsid w:val="00402004"/>
    <w:rsid w:val="0041584C"/>
    <w:rsid w:val="00415C0C"/>
    <w:rsid w:val="0043220F"/>
    <w:rsid w:val="004717FB"/>
    <w:rsid w:val="004718B9"/>
    <w:rsid w:val="00471F94"/>
    <w:rsid w:val="004811F9"/>
    <w:rsid w:val="004A2ED4"/>
    <w:rsid w:val="004B60DF"/>
    <w:rsid w:val="004C3408"/>
    <w:rsid w:val="004C4046"/>
    <w:rsid w:val="004D7EB1"/>
    <w:rsid w:val="005170FA"/>
    <w:rsid w:val="005311B2"/>
    <w:rsid w:val="00533F32"/>
    <w:rsid w:val="00547762"/>
    <w:rsid w:val="00551AFD"/>
    <w:rsid w:val="00577705"/>
    <w:rsid w:val="005856EC"/>
    <w:rsid w:val="005B5D30"/>
    <w:rsid w:val="005C7711"/>
    <w:rsid w:val="005F237E"/>
    <w:rsid w:val="005F5AE7"/>
    <w:rsid w:val="00605182"/>
    <w:rsid w:val="00611E9D"/>
    <w:rsid w:val="00625C35"/>
    <w:rsid w:val="00627787"/>
    <w:rsid w:val="00654A9D"/>
    <w:rsid w:val="00684980"/>
    <w:rsid w:val="006A1A9F"/>
    <w:rsid w:val="006B1CD7"/>
    <w:rsid w:val="006C6421"/>
    <w:rsid w:val="00724178"/>
    <w:rsid w:val="007259BE"/>
    <w:rsid w:val="00733EED"/>
    <w:rsid w:val="00734B0B"/>
    <w:rsid w:val="00737F7C"/>
    <w:rsid w:val="007533E1"/>
    <w:rsid w:val="0075428C"/>
    <w:rsid w:val="0077332D"/>
    <w:rsid w:val="00776E4A"/>
    <w:rsid w:val="00793C07"/>
    <w:rsid w:val="007A0816"/>
    <w:rsid w:val="007A661C"/>
    <w:rsid w:val="007E2492"/>
    <w:rsid w:val="007E2D36"/>
    <w:rsid w:val="008551AF"/>
    <w:rsid w:val="00866DA7"/>
    <w:rsid w:val="0088104A"/>
    <w:rsid w:val="00897FED"/>
    <w:rsid w:val="008A3863"/>
    <w:rsid w:val="008D64DF"/>
    <w:rsid w:val="008E0561"/>
    <w:rsid w:val="008F5AB4"/>
    <w:rsid w:val="009143B1"/>
    <w:rsid w:val="0091783D"/>
    <w:rsid w:val="00947BEC"/>
    <w:rsid w:val="009628BB"/>
    <w:rsid w:val="00985A81"/>
    <w:rsid w:val="0098600D"/>
    <w:rsid w:val="0099196B"/>
    <w:rsid w:val="009A5DE6"/>
    <w:rsid w:val="00A358D3"/>
    <w:rsid w:val="00A87BC1"/>
    <w:rsid w:val="00A911F5"/>
    <w:rsid w:val="00A940F3"/>
    <w:rsid w:val="00AB66DC"/>
    <w:rsid w:val="00AC28D9"/>
    <w:rsid w:val="00AE25E6"/>
    <w:rsid w:val="00AE2CF2"/>
    <w:rsid w:val="00AE5510"/>
    <w:rsid w:val="00AF34DB"/>
    <w:rsid w:val="00B038D4"/>
    <w:rsid w:val="00B1360C"/>
    <w:rsid w:val="00B22B8C"/>
    <w:rsid w:val="00B67B24"/>
    <w:rsid w:val="00BA669A"/>
    <w:rsid w:val="00BB12AB"/>
    <w:rsid w:val="00BD1084"/>
    <w:rsid w:val="00BD3FFC"/>
    <w:rsid w:val="00C11E5D"/>
    <w:rsid w:val="00C16626"/>
    <w:rsid w:val="00C23AB6"/>
    <w:rsid w:val="00C26D09"/>
    <w:rsid w:val="00C4087A"/>
    <w:rsid w:val="00C44FBB"/>
    <w:rsid w:val="00C52588"/>
    <w:rsid w:val="00C62F30"/>
    <w:rsid w:val="00C8080B"/>
    <w:rsid w:val="00C87CC5"/>
    <w:rsid w:val="00CA4C7B"/>
    <w:rsid w:val="00CC0883"/>
    <w:rsid w:val="00CC3A97"/>
    <w:rsid w:val="00CC6D07"/>
    <w:rsid w:val="00CD111A"/>
    <w:rsid w:val="00CD7E0C"/>
    <w:rsid w:val="00CE09B6"/>
    <w:rsid w:val="00CE0CEF"/>
    <w:rsid w:val="00CE6735"/>
    <w:rsid w:val="00D01DA7"/>
    <w:rsid w:val="00D45625"/>
    <w:rsid w:val="00DA5EC3"/>
    <w:rsid w:val="00DC2D10"/>
    <w:rsid w:val="00DC7762"/>
    <w:rsid w:val="00DD2DF4"/>
    <w:rsid w:val="00DD57C0"/>
    <w:rsid w:val="00DE2CB4"/>
    <w:rsid w:val="00E06A69"/>
    <w:rsid w:val="00E23D4E"/>
    <w:rsid w:val="00E25BE9"/>
    <w:rsid w:val="00E34F95"/>
    <w:rsid w:val="00E50F84"/>
    <w:rsid w:val="00E6038F"/>
    <w:rsid w:val="00E71E16"/>
    <w:rsid w:val="00E95FDD"/>
    <w:rsid w:val="00EB2C44"/>
    <w:rsid w:val="00EC32AA"/>
    <w:rsid w:val="00EC63B4"/>
    <w:rsid w:val="00F013C0"/>
    <w:rsid w:val="00F02D09"/>
    <w:rsid w:val="00F038FE"/>
    <w:rsid w:val="00F16570"/>
    <w:rsid w:val="00F4753B"/>
    <w:rsid w:val="00F57271"/>
    <w:rsid w:val="00F57D2F"/>
    <w:rsid w:val="00F852F5"/>
    <w:rsid w:val="00FA4ACA"/>
    <w:rsid w:val="00FE0C25"/>
    <w:rsid w:val="00FE56F1"/>
    <w:rsid w:val="00FF5594"/>
    <w:rsid w:val="00FF5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F5D1"/>
  <w15:docId w15:val="{6675B9D1-34DB-4BA1-8C37-3FEB858D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3054"/>
    <w:pPr>
      <w:autoSpaceDE w:val="0"/>
      <w:autoSpaceDN w:val="0"/>
      <w:adjustRightInd w:val="0"/>
      <w:spacing w:after="0" w:line="240" w:lineRule="auto"/>
    </w:pPr>
    <w:rPr>
      <w:color w:val="000000"/>
      <w:sz w:val="24"/>
      <w:szCs w:val="24"/>
    </w:rPr>
  </w:style>
  <w:style w:type="paragraph" w:styleId="PlainText">
    <w:name w:val="Plain Text"/>
    <w:basedOn w:val="Normal"/>
    <w:link w:val="PlainTextChar"/>
    <w:uiPriority w:val="99"/>
    <w:semiHidden/>
    <w:unhideWhenUsed/>
    <w:rsid w:val="00BD1084"/>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BD1084"/>
    <w:rPr>
      <w:rFonts w:ascii="Consolas" w:hAnsi="Consolas" w:cstheme="minorBidi"/>
      <w:sz w:val="21"/>
      <w:szCs w:val="21"/>
    </w:rPr>
  </w:style>
  <w:style w:type="character" w:styleId="CommentReference">
    <w:name w:val="annotation reference"/>
    <w:basedOn w:val="DefaultParagraphFont"/>
    <w:uiPriority w:val="99"/>
    <w:semiHidden/>
    <w:unhideWhenUsed/>
    <w:rsid w:val="007A661C"/>
    <w:rPr>
      <w:sz w:val="16"/>
      <w:szCs w:val="16"/>
    </w:rPr>
  </w:style>
  <w:style w:type="paragraph" w:styleId="CommentText">
    <w:name w:val="annotation text"/>
    <w:basedOn w:val="Normal"/>
    <w:link w:val="CommentTextChar"/>
    <w:uiPriority w:val="99"/>
    <w:unhideWhenUsed/>
    <w:rsid w:val="007A661C"/>
    <w:rPr>
      <w:rFonts w:ascii="Calibri" w:eastAsia="Calibri" w:hAnsi="Calibri" w:cs="Times New Roman"/>
    </w:rPr>
  </w:style>
  <w:style w:type="character" w:customStyle="1" w:styleId="CommentTextChar">
    <w:name w:val="Comment Text Char"/>
    <w:basedOn w:val="DefaultParagraphFont"/>
    <w:link w:val="CommentText"/>
    <w:uiPriority w:val="99"/>
    <w:rsid w:val="007A661C"/>
    <w:rPr>
      <w:rFonts w:ascii="Calibri" w:eastAsia="Calibri" w:hAnsi="Calibri" w:cs="Times New Roman"/>
    </w:rPr>
  </w:style>
  <w:style w:type="paragraph" w:styleId="BalloonText">
    <w:name w:val="Balloon Text"/>
    <w:basedOn w:val="Normal"/>
    <w:link w:val="BalloonTextChar"/>
    <w:uiPriority w:val="99"/>
    <w:semiHidden/>
    <w:unhideWhenUsed/>
    <w:rsid w:val="007A6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61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84B13"/>
    <w:pPr>
      <w:spacing w:line="240" w:lineRule="auto"/>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84B13"/>
    <w:rPr>
      <w:rFonts w:ascii="Calibri" w:eastAsia="Calibri" w:hAnsi="Calibri" w:cs="Times New Roman"/>
      <w:b/>
      <w:bCs/>
    </w:rPr>
  </w:style>
  <w:style w:type="paragraph" w:styleId="Header">
    <w:name w:val="header"/>
    <w:basedOn w:val="Normal"/>
    <w:link w:val="HeaderChar"/>
    <w:uiPriority w:val="99"/>
    <w:unhideWhenUsed/>
    <w:rsid w:val="00D01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DA7"/>
  </w:style>
  <w:style w:type="paragraph" w:styleId="Footer">
    <w:name w:val="footer"/>
    <w:basedOn w:val="Normal"/>
    <w:link w:val="FooterChar"/>
    <w:uiPriority w:val="99"/>
    <w:unhideWhenUsed/>
    <w:rsid w:val="00D01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DA7"/>
  </w:style>
  <w:style w:type="character" w:styleId="Hyperlink">
    <w:name w:val="Hyperlink"/>
    <w:basedOn w:val="DefaultParagraphFont"/>
    <w:uiPriority w:val="99"/>
    <w:unhideWhenUsed/>
    <w:rsid w:val="00CA4C7B"/>
    <w:rPr>
      <w:color w:val="0000FF" w:themeColor="hyperlink"/>
      <w:u w:val="single"/>
    </w:rPr>
  </w:style>
  <w:style w:type="paragraph" w:styleId="ListParagraph">
    <w:name w:val="List Paragraph"/>
    <w:basedOn w:val="Normal"/>
    <w:uiPriority w:val="34"/>
    <w:qFormat/>
    <w:rsid w:val="00CC3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3038">
      <w:bodyDiv w:val="1"/>
      <w:marLeft w:val="0"/>
      <w:marRight w:val="0"/>
      <w:marTop w:val="0"/>
      <w:marBottom w:val="0"/>
      <w:divBdr>
        <w:top w:val="none" w:sz="0" w:space="0" w:color="auto"/>
        <w:left w:val="none" w:sz="0" w:space="0" w:color="auto"/>
        <w:bottom w:val="none" w:sz="0" w:space="0" w:color="auto"/>
        <w:right w:val="none" w:sz="0" w:space="0" w:color="auto"/>
      </w:divBdr>
    </w:div>
    <w:div w:id="9430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Optometrists</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Stuart.holland</dc:creator>
  <cp:lastModifiedBy>Neal Suchak</cp:lastModifiedBy>
  <cp:revision>32</cp:revision>
  <cp:lastPrinted>2021-05-11T11:12:00Z</cp:lastPrinted>
  <dcterms:created xsi:type="dcterms:W3CDTF">2021-04-30T08:32:00Z</dcterms:created>
  <dcterms:modified xsi:type="dcterms:W3CDTF">2025-04-14T10:05:00Z</dcterms:modified>
</cp:coreProperties>
</file>