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91A56" w:rsidP="00F71B6D" w:rsidRDefault="00F71153" w14:paraId="486FFBE4" w14:textId="1FC43693">
      <w:pPr>
        <w:pStyle w:val="BodyText"/>
        <w:tabs>
          <w:tab w:val="left" w:pos="3024"/>
        </w:tabs>
        <w:spacing w:before="10"/>
        <w:rPr>
          <w:rFonts w:ascii="Times New Roman"/>
          <w:sz w:val="15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56E58E1" wp14:editId="5D302AA9">
            <wp:simplePos x="0" y="0"/>
            <wp:positionH relativeFrom="column">
              <wp:posOffset>-44450</wp:posOffset>
            </wp:positionH>
            <wp:positionV relativeFrom="paragraph">
              <wp:posOffset>50165</wp:posOffset>
            </wp:positionV>
            <wp:extent cx="3044946" cy="771525"/>
            <wp:effectExtent l="0" t="0" r="0" b="0"/>
            <wp:wrapTight wrapText="bothSides">
              <wp:wrapPolygon edited="0">
                <wp:start x="3379" y="0"/>
                <wp:lineTo x="946" y="4800"/>
                <wp:lineTo x="676" y="5867"/>
                <wp:lineTo x="811" y="9067"/>
                <wp:lineTo x="1351" y="17600"/>
                <wp:lineTo x="1487" y="20800"/>
                <wp:lineTo x="6622" y="20800"/>
                <wp:lineTo x="6622" y="17600"/>
                <wp:lineTo x="19866" y="17600"/>
                <wp:lineTo x="21082" y="17067"/>
                <wp:lineTo x="21082" y="6933"/>
                <wp:lineTo x="17839" y="5333"/>
                <wp:lineTo x="4730" y="0"/>
                <wp:lineTo x="337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O_Heraldic-Horiz-FC-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4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153" w:rsidP="00C34440" w:rsidRDefault="00F71153" w14:paraId="59E4FEDB" w14:textId="77777777">
      <w:pPr>
        <w:spacing w:before="89" w:line="242" w:lineRule="auto"/>
        <w:ind w:right="7264"/>
        <w:jc w:val="both"/>
        <w:rPr>
          <w:b/>
          <w:sz w:val="28"/>
        </w:rPr>
      </w:pPr>
    </w:p>
    <w:p w:rsidR="00F71153" w:rsidP="00C34440" w:rsidRDefault="00F71153" w14:paraId="68BFC3B7" w14:textId="77777777">
      <w:pPr>
        <w:spacing w:before="89" w:line="242" w:lineRule="auto"/>
        <w:ind w:right="7264"/>
        <w:jc w:val="both"/>
        <w:rPr>
          <w:b/>
          <w:sz w:val="28"/>
        </w:rPr>
      </w:pPr>
    </w:p>
    <w:p w:rsidR="00F71153" w:rsidP="00C34440" w:rsidRDefault="00F71153" w14:paraId="3437BFFF" w14:textId="77777777">
      <w:pPr>
        <w:spacing w:before="89" w:line="242" w:lineRule="auto"/>
        <w:ind w:right="7264"/>
        <w:jc w:val="both"/>
        <w:rPr>
          <w:b/>
          <w:sz w:val="28"/>
        </w:rPr>
      </w:pPr>
    </w:p>
    <w:p w:rsidR="00691A56" w:rsidP="00C34440" w:rsidRDefault="00686B07" w14:paraId="0B1F4175" w14:textId="56F97D51">
      <w:pPr>
        <w:spacing w:before="89" w:line="242" w:lineRule="auto"/>
        <w:ind w:right="7264"/>
        <w:jc w:val="both"/>
        <w:rPr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715186D8" wp14:editId="6B7B3555">
                <wp:simplePos x="0" y="0"/>
                <wp:positionH relativeFrom="page">
                  <wp:posOffset>6120764</wp:posOffset>
                </wp:positionH>
                <wp:positionV relativeFrom="paragraph">
                  <wp:posOffset>84455</wp:posOffset>
                </wp:positionV>
                <wp:extent cx="4178935" cy="325120"/>
                <wp:effectExtent l="0" t="0" r="12065" b="17780"/>
                <wp:wrapNone/>
                <wp:docPr id="7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935" cy="325120"/>
                        </a:xfrm>
                        <a:prstGeom prst="rect">
                          <a:avLst/>
                        </a:prstGeom>
                        <a:noFill/>
                        <a:ln w="110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7B0A" w:rsidRDefault="00E37B0A" w14:paraId="64C6AA34" w14:textId="77777777">
                            <w:pPr>
                              <w:spacing w:before="110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Trainee 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E751FF">
              <v:shapetype id="_x0000_t202" coordsize="21600,21600" o:spt="202" path="m,l,21600r21600,l21600,xe" w14:anchorId="715186D8">
                <v:stroke joinstyle="miter"/>
                <v:path gradientshapeok="t" o:connecttype="rect"/>
              </v:shapetype>
              <v:shape id="Text Box 100" style="position:absolute;left:0;text-align:left;margin-left:481.95pt;margin-top:6.65pt;width:329.05pt;height:25.6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30722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">
                <v:textbox inset="0,0,0,0">
                  <w:txbxContent>
                    <w:p w:rsidR="00E37B0A" w:rsidRDefault="00E37B0A" w14:paraId="51D00839" w14:textId="77777777">
                      <w:pPr>
                        <w:spacing w:before="110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Trainee name: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name="Scheme_for_Registration_Assessment_frame" w:id="0"/>
      <w:bookmarkEnd w:id="0"/>
      <w:r w:rsidR="00613224">
        <w:rPr>
          <w:b/>
          <w:sz w:val="28"/>
        </w:rPr>
        <w:t>Scheme for Registratio</w:t>
      </w:r>
      <w:r w:rsidR="008F74BD">
        <w:rPr>
          <w:b/>
          <w:sz w:val="28"/>
        </w:rPr>
        <w:t xml:space="preserve">n Assessment framework – Visit </w:t>
      </w:r>
      <w:r w:rsidR="00474A39">
        <w:rPr>
          <w:b/>
          <w:sz w:val="28"/>
        </w:rPr>
        <w:t>4</w:t>
      </w:r>
      <w:r w:rsidR="00613224">
        <w:rPr>
          <w:b/>
          <w:sz w:val="28"/>
        </w:rPr>
        <w:t xml:space="preserve"> </w:t>
      </w:r>
      <w:r w:rsidR="00722E38">
        <w:rPr>
          <w:b/>
          <w:sz w:val="28"/>
        </w:rPr>
        <w:t xml:space="preserve">including </w:t>
      </w:r>
      <w:r w:rsidR="00613224">
        <w:rPr>
          <w:b/>
          <w:sz w:val="28"/>
        </w:rPr>
        <w:t>Supervi</w:t>
      </w:r>
      <w:r w:rsidR="00722E38">
        <w:rPr>
          <w:b/>
          <w:sz w:val="28"/>
        </w:rPr>
        <w:t>sor training review scores</w:t>
      </w:r>
    </w:p>
    <w:p w:rsidR="006A7E3F" w:rsidP="00837F6E" w:rsidRDefault="006A7E3F" w14:paraId="54E17338" w14:textId="77777777">
      <w:pPr>
        <w:pStyle w:val="BodyText"/>
        <w:ind w:left="418" w:right="1024"/>
      </w:pPr>
    </w:p>
    <w:p w:rsidR="00A20196" w:rsidP="00C34440" w:rsidRDefault="005B659F" w14:paraId="25C0DC19" w14:textId="354FA191">
      <w:pPr>
        <w:pStyle w:val="BodyText"/>
        <w:ind w:right="112"/>
      </w:pPr>
      <w:r w:rsidR="005B659F">
        <w:rPr/>
        <w:t>This framework</w:t>
      </w:r>
      <w:r w:rsidR="00613224">
        <w:rPr/>
        <w:t xml:space="preserve"> is to be completed by the trainee and a copy</w:t>
      </w:r>
      <w:r w:rsidR="009141AD">
        <w:rPr/>
        <w:t xml:space="preserve"> needs to be</w:t>
      </w:r>
      <w:r w:rsidR="00613224">
        <w:rPr/>
        <w:t xml:space="preserve"> sent to </w:t>
      </w:r>
      <w:r w:rsidR="009141AD">
        <w:rPr/>
        <w:t xml:space="preserve">the </w:t>
      </w:r>
      <w:r w:rsidR="00613224">
        <w:rPr/>
        <w:t xml:space="preserve">assessor prior to </w:t>
      </w:r>
      <w:r w:rsidR="008F74BD">
        <w:rPr/>
        <w:t>v</w:t>
      </w:r>
      <w:r w:rsidR="00613224">
        <w:rPr/>
        <w:t xml:space="preserve">isit </w:t>
      </w:r>
      <w:r w:rsidR="00474A39">
        <w:rPr/>
        <w:t>4</w:t>
      </w:r>
      <w:r w:rsidR="00613224">
        <w:rPr/>
        <w:t xml:space="preserve">. To ensure that the assessor has all the relevant information </w:t>
      </w:r>
      <w:r w:rsidR="00613224">
        <w:rPr/>
        <w:t>required</w:t>
      </w:r>
      <w:r w:rsidR="00613224">
        <w:rPr/>
        <w:t xml:space="preserve"> to prepare for the assessment, please complete the supervisor training review column on each page with your most recent score for that element of competence</w:t>
      </w:r>
      <w:r w:rsidR="00722E38">
        <w:rPr/>
        <w:t xml:space="preserve">. </w:t>
      </w:r>
      <w:r w:rsidR="005B659F">
        <w:rPr/>
        <w:t>For scoring key see appendix at the end of this document.</w:t>
      </w:r>
    </w:p>
    <w:p w:rsidR="00837F6E" w:rsidP="00837F6E" w:rsidRDefault="00837F6E" w14:paraId="4BE9B197" w14:textId="77777777">
      <w:pPr>
        <w:pStyle w:val="BodyText"/>
        <w:ind w:left="418" w:right="1024"/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122"/>
        <w:gridCol w:w="1417"/>
        <w:gridCol w:w="4961"/>
        <w:gridCol w:w="2410"/>
        <w:gridCol w:w="1559"/>
        <w:gridCol w:w="1276"/>
        <w:gridCol w:w="1559"/>
      </w:tblGrid>
      <w:tr w:rsidRPr="00A20196" w:rsidR="00A20196" w:rsidTr="069F2419" w14:paraId="7D9079CE" w14:textId="77777777">
        <w:tc>
          <w:tcPr>
            <w:tcW w:w="15304" w:type="dxa"/>
            <w:gridSpan w:val="7"/>
            <w:shd w:val="clear" w:color="auto" w:fill="F2F2F2" w:themeFill="background1" w:themeFillShade="F2"/>
            <w:tcMar/>
            <w:hideMark/>
          </w:tcPr>
          <w:p w:rsidR="00837F6E" w:rsidP="008049D7" w:rsidRDefault="00837F6E" w14:paraId="066636D3" w14:textId="77777777">
            <w:pPr>
              <w:shd w:val="clear" w:color="auto" w:fill="F2F2F2" w:themeFill="background1" w:themeFillShade="F2"/>
              <w:spacing w:line="203" w:lineRule="exact"/>
              <w:rPr>
                <w:b/>
                <w:bCs/>
              </w:rPr>
            </w:pPr>
          </w:p>
          <w:p w:rsidR="006A7E3F" w:rsidP="008049D7" w:rsidRDefault="00A20196" w14:paraId="41A75DD8" w14:textId="4CC8122B">
            <w:pPr>
              <w:shd w:val="clear" w:color="auto" w:fill="F2F2F2" w:themeFill="background1" w:themeFillShade="F2"/>
              <w:spacing w:line="203" w:lineRule="exact"/>
              <w:rPr>
                <w:b/>
                <w:bCs/>
                <w:sz w:val="18"/>
                <w:szCs w:val="18"/>
              </w:rPr>
            </w:pPr>
            <w:r w:rsidRPr="00837F6E">
              <w:rPr>
                <w:b/>
                <w:bCs/>
              </w:rPr>
              <w:t xml:space="preserve">Unit of competence 1. Communication </w:t>
            </w:r>
            <w:r w:rsidRPr="008049D7">
              <w:rPr>
                <w:b/>
                <w:bCs/>
                <w:sz w:val="18"/>
                <w:szCs w:val="18"/>
              </w:rPr>
              <w:t xml:space="preserve">– </w:t>
            </w:r>
          </w:p>
          <w:p w:rsidR="00A20196" w:rsidP="008049D7" w:rsidRDefault="00A20196" w14:paraId="54DD6F01" w14:textId="29F8F522">
            <w:pPr>
              <w:shd w:val="clear" w:color="auto" w:fill="F2F2F2" w:themeFill="background1" w:themeFillShade="F2"/>
              <w:spacing w:line="203" w:lineRule="exact"/>
              <w:rPr>
                <w:sz w:val="18"/>
                <w:szCs w:val="18"/>
              </w:rPr>
            </w:pPr>
            <w:r w:rsidRPr="008049D7">
              <w:rPr>
                <w:sz w:val="18"/>
                <w:szCs w:val="18"/>
              </w:rPr>
              <w:t>The ability to communicate effectively with the patient and any other appropriate person involved in the care of the patient, with English being the primary language of communication</w:t>
            </w:r>
          </w:p>
          <w:p w:rsidRPr="00837F6E" w:rsidR="00837F6E" w:rsidP="008049D7" w:rsidRDefault="00837F6E" w14:paraId="2116AA50" w14:textId="1A51F2D4">
            <w:pPr>
              <w:shd w:val="clear" w:color="auto" w:fill="F2F2F2" w:themeFill="background1" w:themeFillShade="F2"/>
              <w:spacing w:line="203" w:lineRule="exact"/>
              <w:rPr>
                <w:b/>
                <w:bCs/>
              </w:rPr>
            </w:pPr>
          </w:p>
        </w:tc>
      </w:tr>
      <w:tr w:rsidRPr="00A20196" w:rsidR="00A20196" w:rsidTr="069F2419" w14:paraId="7D64FEDA" w14:textId="77777777">
        <w:tc>
          <w:tcPr>
            <w:tcW w:w="2122" w:type="dxa"/>
            <w:shd w:val="clear" w:color="auto" w:fill="F2F2F2" w:themeFill="background1" w:themeFillShade="F2"/>
            <w:tcMar/>
            <w:hideMark/>
          </w:tcPr>
          <w:p w:rsidRPr="008049D7" w:rsidR="00A20196" w:rsidP="008049D7" w:rsidRDefault="00A20196" w14:paraId="2A9DBD43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hideMark/>
          </w:tcPr>
          <w:p w:rsidRPr="008049D7" w:rsidR="00A20196" w:rsidP="008049D7" w:rsidRDefault="00A20196" w14:paraId="00727CB3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hideMark/>
          </w:tcPr>
          <w:p w:rsidRPr="008049D7" w:rsidR="00A20196" w:rsidP="008049D7" w:rsidRDefault="00A20196" w14:paraId="43268BD6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hideMark/>
          </w:tcPr>
          <w:p w:rsidRPr="008049D7" w:rsidR="00A20196" w:rsidP="008049D7" w:rsidRDefault="00A20196" w14:paraId="38CF5C0C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8049D7" w:rsidR="00A20196" w:rsidP="008049D7" w:rsidRDefault="00A20196" w14:paraId="060B0C5C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hideMark/>
          </w:tcPr>
          <w:p w:rsidRPr="00F71B6D" w:rsidR="00A20196" w:rsidP="008049D7" w:rsidRDefault="00A20196" w14:paraId="70E5CA49" w14:textId="77777777">
            <w:pPr>
              <w:spacing w:line="203" w:lineRule="exact"/>
              <w:jc w:val="center"/>
              <w:rPr>
                <w:b/>
                <w:bCs/>
                <w:sz w:val="16"/>
                <w:szCs w:val="16"/>
              </w:rPr>
            </w:pPr>
            <w:r w:rsidRPr="00F71B6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8049D7" w:rsidR="00A20196" w:rsidP="008049D7" w:rsidRDefault="00A20196" w14:paraId="3A8E3A72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EF2E8B" w:rsidTr="069F2419" w14:paraId="3CC80CF4" w14:textId="77777777">
        <w:tc>
          <w:tcPr>
            <w:tcW w:w="2122" w:type="dxa"/>
            <w:tcMar/>
          </w:tcPr>
          <w:p w:rsidRPr="00444C62" w:rsidR="00EF2E8B" w:rsidP="00444C62" w:rsidRDefault="00EF2E8B" w14:paraId="2691F06D" w14:textId="7F21503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1.1.3 Identifies and responds appropriately to patients’ fears, anxieties and concerns about their visual welfare.</w:t>
            </w:r>
          </w:p>
        </w:tc>
        <w:tc>
          <w:tcPr>
            <w:tcW w:w="1417" w:type="dxa"/>
            <w:tcMar/>
          </w:tcPr>
          <w:p w:rsidR="00EF2E8B" w:rsidP="00EF2E8B" w:rsidRDefault="00EF2E8B" w14:paraId="4166C087" w14:textId="7777777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E608B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TCD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  <w:p w:rsidRPr="00A20196" w:rsidR="00EF2E8B" w:rsidP="00EF2E8B" w:rsidRDefault="00EF2E8B" w14:paraId="47C1498F" w14:textId="2143DDD1">
            <w:pPr>
              <w:spacing w:line="203" w:lineRule="exact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RP</w:t>
            </w:r>
          </w:p>
        </w:tc>
        <w:tc>
          <w:tcPr>
            <w:tcW w:w="4961" w:type="dxa"/>
            <w:tcMar/>
          </w:tcPr>
          <w:p w:rsidRPr="00A20196" w:rsidR="00EF2E8B" w:rsidP="00EF2E8B" w:rsidRDefault="00EF2E8B" w14:paraId="5D2FC31F" w14:textId="4718F50A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Establishes and maintains a good professional and clinical relationship with the patient to inspire trust and confidence. Recognises emotion in patients.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Explores patient concerns and provides reassurance where appropriate, using explanations that are relevant to that patient.</w:t>
            </w:r>
          </w:p>
        </w:tc>
        <w:tc>
          <w:tcPr>
            <w:tcW w:w="2410" w:type="dxa"/>
            <w:tcMar/>
          </w:tcPr>
          <w:p w:rsidRPr="00A20196" w:rsidR="00EF2E8B" w:rsidP="069F2419" w:rsidRDefault="00EF2E8B" w14:paraId="0C5D63BE" w14:textId="6B212ED8">
            <w:pPr>
              <w:spacing w:line="203" w:lineRule="exact"/>
              <w:rPr>
                <w:sz w:val="18"/>
                <w:szCs w:val="18"/>
              </w:rPr>
            </w:pPr>
            <w:r w:rsidRPr="069F2419" w:rsidR="00AB010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E</w:t>
            </w:r>
            <w:r w:rsidRPr="069F2419" w:rsidR="00EF2E8B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.g.</w:t>
            </w:r>
            <w:r w:rsidRPr="069F2419" w:rsidR="007550C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</w:t>
            </w:r>
            <w:r w:rsidRPr="069F2419" w:rsidR="00EF2E8B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patient with symptoms and or symp</w:t>
            </w:r>
            <w:r w:rsidRPr="069F2419" w:rsidR="00EF2E8B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to</w:t>
            </w:r>
            <w:r w:rsidRPr="069F2419" w:rsidR="00EF2E8B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matic cataract</w:t>
            </w:r>
          </w:p>
        </w:tc>
        <w:tc>
          <w:tcPr>
            <w:tcW w:w="1559" w:type="dxa"/>
            <w:tcMar/>
          </w:tcPr>
          <w:p w:rsidR="00EF2E8B" w:rsidP="00EF2E8B" w:rsidRDefault="00EF2E8B" w14:paraId="74F2D96C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EF2E8B" w:rsidP="00EF2E8B" w:rsidRDefault="00EF2E8B" w14:paraId="75C81D94" w14:textId="238BF6F4">
            <w:pPr>
              <w:spacing w:line="203" w:lineRule="exact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TCD _______</w:t>
            </w:r>
          </w:p>
        </w:tc>
        <w:tc>
          <w:tcPr>
            <w:tcW w:w="1276" w:type="dxa"/>
            <w:tcMar/>
          </w:tcPr>
          <w:p w:rsidRPr="00A20196" w:rsidR="00EF2E8B" w:rsidP="00EF2E8B" w:rsidRDefault="00EF2E8B" w14:paraId="1923A164" w14:textId="4B8DA5B6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EF2E8B" w:rsidP="00EF2E8B" w:rsidRDefault="00EF2E8B" w14:paraId="141B245E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444C62" w:rsidP="00EF2E8B" w:rsidRDefault="00EF2E8B" w14:paraId="4DD68570" w14:textId="77777777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444C62" w:rsidP="00EF2E8B" w:rsidRDefault="00EF2E8B" w14:paraId="1265612B" w14:textId="77777777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EF2E8B" w:rsidP="00EF2E8B" w:rsidRDefault="00EF2E8B" w14:paraId="06F33F17" w14:textId="39C9EBBC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8A72E3" w:rsidTr="069F2419" w14:paraId="32231C6F" w14:textId="77777777">
        <w:tc>
          <w:tcPr>
            <w:tcW w:w="2122" w:type="dxa"/>
            <w:tcMar/>
          </w:tcPr>
          <w:p w:rsidRPr="007144FB" w:rsidR="008A72E3" w:rsidP="008A72E3" w:rsidRDefault="008A72E3" w14:paraId="3C9CD300" w14:textId="6C3C48E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1.2.2 Communicates with patients who have poor or non-verbal communication skills, or those who are confused, reticent or who may mislead.</w:t>
            </w:r>
          </w:p>
        </w:tc>
        <w:tc>
          <w:tcPr>
            <w:tcW w:w="1417" w:type="dxa"/>
            <w:tcMar/>
          </w:tcPr>
          <w:p w:rsidRPr="007144FB" w:rsidR="008A72E3" w:rsidP="008A72E3" w:rsidRDefault="008A72E3" w14:paraId="67576929" w14:textId="3D1875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RA</w:t>
            </w:r>
          </w:p>
        </w:tc>
        <w:tc>
          <w:tcPr>
            <w:tcW w:w="4961" w:type="dxa"/>
            <w:tcMar/>
          </w:tcPr>
          <w:p w:rsidRPr="007144FB" w:rsidR="008A72E3" w:rsidP="008A72E3" w:rsidRDefault="008A72E3" w14:paraId="1F6A32A6" w14:textId="2295D62C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Makes effective use of body language to support explanation.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Demonstrates awareness of own body language. Uses appropriate supportive material.</w:t>
            </w:r>
          </w:p>
        </w:tc>
        <w:tc>
          <w:tcPr>
            <w:tcW w:w="2410" w:type="dxa"/>
            <w:tcMar/>
          </w:tcPr>
          <w:p w:rsidRPr="007144FB" w:rsidR="008A72E3" w:rsidP="008A72E3" w:rsidRDefault="008A72E3" w14:paraId="4825BB3C" w14:textId="3F3C01A9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Patient with communication difficulty or w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ho is confused or might mislead</w:t>
            </w:r>
          </w:p>
        </w:tc>
        <w:tc>
          <w:tcPr>
            <w:tcW w:w="1559" w:type="dxa"/>
            <w:tcMar/>
          </w:tcPr>
          <w:p w:rsidR="008A72E3" w:rsidP="008A72E3" w:rsidRDefault="008A72E3" w14:paraId="7C18813D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8A72E3" w:rsidP="008A72E3" w:rsidRDefault="008A72E3" w14:paraId="6A8CB7B9" w14:textId="532300F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RA _______</w:t>
            </w:r>
          </w:p>
        </w:tc>
        <w:tc>
          <w:tcPr>
            <w:tcW w:w="1276" w:type="dxa"/>
            <w:tcMar/>
          </w:tcPr>
          <w:p w:rsidRPr="007144FB" w:rsidR="008A72E3" w:rsidP="008A72E3" w:rsidRDefault="008A72E3" w14:paraId="337126A0" w14:textId="00E9BF42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8A72E3" w:rsidP="008A72E3" w:rsidRDefault="008A72E3" w14:paraId="225AF62F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8A72E3" w:rsidP="008A72E3" w:rsidRDefault="008A72E3" w14:paraId="115200A2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8A72E3" w:rsidP="008A72E3" w:rsidRDefault="008A72E3" w14:paraId="16CFC828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8A72E3" w:rsidP="008A72E3" w:rsidRDefault="008A72E3" w14:paraId="16E3899D" w14:textId="11EEF23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8A72E3" w:rsidTr="069F2419" w14:paraId="084E6944" w14:textId="77777777">
        <w:tc>
          <w:tcPr>
            <w:tcW w:w="2122" w:type="dxa"/>
            <w:tcMar/>
          </w:tcPr>
          <w:p w:rsidRPr="008A72E3" w:rsidR="008A72E3" w:rsidP="008A72E3" w:rsidRDefault="008A72E3" w14:paraId="61A5BDF0" w14:textId="4DAF351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1.2.5 Communicates effectively with any other appropriate person involved in the care of the patient.</w:t>
            </w:r>
          </w:p>
        </w:tc>
        <w:tc>
          <w:tcPr>
            <w:tcW w:w="1417" w:type="dxa"/>
            <w:tcMar/>
          </w:tcPr>
          <w:p w:rsidRPr="00A20196" w:rsidR="008A72E3" w:rsidP="008A72E3" w:rsidRDefault="008A72E3" w14:paraId="2E747D1A" w14:textId="1248A7FA">
            <w:pPr>
              <w:spacing w:line="203" w:lineRule="exact"/>
              <w:jc w:val="center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RA</w:t>
            </w:r>
          </w:p>
        </w:tc>
        <w:tc>
          <w:tcPr>
            <w:tcW w:w="4961" w:type="dxa"/>
            <w:tcMar/>
          </w:tcPr>
          <w:p w:rsidRPr="00A20196" w:rsidR="008A72E3" w:rsidP="008A72E3" w:rsidRDefault="008A72E3" w14:paraId="45F00AEA" w14:textId="09840C83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Records and discusses advice and management in a clear and appropriate manner.</w:t>
            </w:r>
          </w:p>
        </w:tc>
        <w:tc>
          <w:tcPr>
            <w:tcW w:w="2410" w:type="dxa"/>
            <w:tcMar/>
          </w:tcPr>
          <w:p w:rsidRPr="00A20196" w:rsidR="008A72E3" w:rsidP="008A72E3" w:rsidRDefault="008A72E3" w14:paraId="24DF7CE4" w14:textId="2DA1F794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Patient where communication with a parent or guardian of a child has taken place</w:t>
            </w:r>
          </w:p>
        </w:tc>
        <w:tc>
          <w:tcPr>
            <w:tcW w:w="1559" w:type="dxa"/>
            <w:tcMar/>
          </w:tcPr>
          <w:p w:rsidR="008A72E3" w:rsidP="008A72E3" w:rsidRDefault="008A72E3" w14:paraId="39A3C1EE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8A72E3" w:rsidP="008A72E3" w:rsidRDefault="008A72E3" w14:paraId="2CC6EE0D" w14:textId="5A53A725">
            <w:pPr>
              <w:spacing w:line="203" w:lineRule="exact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RA_________ </w:t>
            </w:r>
          </w:p>
        </w:tc>
        <w:tc>
          <w:tcPr>
            <w:tcW w:w="1276" w:type="dxa"/>
            <w:tcMar/>
          </w:tcPr>
          <w:p w:rsidRPr="00A20196" w:rsidR="008A72E3" w:rsidP="008A72E3" w:rsidRDefault="008A72E3" w14:paraId="66A73D8A" w14:textId="56400E8E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8A72E3" w:rsidP="008A72E3" w:rsidRDefault="008A72E3" w14:paraId="727B4ECD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8A72E3" w:rsidP="008A72E3" w:rsidRDefault="008A72E3" w14:paraId="19993EBF" w14:textId="77777777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8A72E3" w:rsidP="008A72E3" w:rsidRDefault="008A72E3" w14:paraId="1E065353" w14:textId="77777777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8A72E3" w:rsidP="008A72E3" w:rsidRDefault="008A72E3" w14:paraId="38F0C8A6" w14:textId="2708F75C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8A72E3" w:rsidTr="069F2419" w14:paraId="1891388A" w14:textId="77777777">
        <w:tc>
          <w:tcPr>
            <w:tcW w:w="15304" w:type="dxa"/>
            <w:gridSpan w:val="7"/>
            <w:tcMar/>
            <w:hideMark/>
          </w:tcPr>
          <w:p w:rsidRPr="00A20196" w:rsidR="008A72E3" w:rsidP="008A72E3" w:rsidRDefault="008A72E3" w14:paraId="43290AD4" w14:textId="00355F43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Assessor Notes</w:t>
            </w:r>
          </w:p>
        </w:tc>
      </w:tr>
      <w:tr w:rsidRPr="009B47C6" w:rsidR="008A72E3" w:rsidTr="069F2419" w14:paraId="369F3DF6" w14:textId="77777777">
        <w:tc>
          <w:tcPr>
            <w:tcW w:w="15304" w:type="dxa"/>
            <w:gridSpan w:val="7"/>
            <w:shd w:val="clear" w:color="auto" w:fill="F2F2F2" w:themeFill="background1" w:themeFillShade="F2"/>
            <w:tcMar/>
            <w:hideMark/>
          </w:tcPr>
          <w:p w:rsidRPr="006F77B8" w:rsidR="008A72E3" w:rsidP="008A72E3" w:rsidRDefault="008A72E3" w14:paraId="6F3D5A9D" w14:textId="77777777">
            <w:pPr>
              <w:shd w:val="clear" w:color="auto" w:fill="F2F2F2" w:themeFill="background1" w:themeFillShade="F2"/>
              <w:spacing w:line="203" w:lineRule="exact"/>
              <w:rPr>
                <w:b/>
                <w:bCs/>
              </w:rPr>
            </w:pPr>
          </w:p>
          <w:p w:rsidR="008A72E3" w:rsidP="008A72E3" w:rsidRDefault="008A72E3" w14:paraId="39D1DB8B" w14:textId="36ADA74C">
            <w:pPr>
              <w:shd w:val="clear" w:color="auto" w:fill="F2F2F2" w:themeFill="background1" w:themeFillShade="F2"/>
              <w:spacing w:line="203" w:lineRule="exact"/>
            </w:pPr>
            <w:r w:rsidRPr="006F77B8">
              <w:rPr>
                <w:b/>
                <w:bCs/>
              </w:rPr>
              <w:t xml:space="preserve">Unit of competence 2. Professional conduct – </w:t>
            </w:r>
            <w:r w:rsidRPr="006F77B8">
              <w:t>The ability to comply with the legal, ethical and professional aspects of practic</w:t>
            </w:r>
            <w:r>
              <w:t>e</w:t>
            </w:r>
          </w:p>
          <w:p w:rsidRPr="006F77B8" w:rsidR="008A72E3" w:rsidP="008A72E3" w:rsidRDefault="008A72E3" w14:paraId="1632D197" w14:textId="4DF857D9">
            <w:pPr>
              <w:spacing w:line="203" w:lineRule="exact"/>
              <w:rPr>
                <w:b/>
                <w:bCs/>
              </w:rPr>
            </w:pPr>
          </w:p>
        </w:tc>
      </w:tr>
      <w:tr w:rsidRPr="00A20196" w:rsidR="008A72E3" w:rsidTr="069F2419" w14:paraId="4ED197DE" w14:textId="77777777">
        <w:tc>
          <w:tcPr>
            <w:tcW w:w="2122" w:type="dxa"/>
            <w:shd w:val="clear" w:color="auto" w:fill="F2F2F2" w:themeFill="background1" w:themeFillShade="F2"/>
            <w:tcMar/>
            <w:hideMark/>
          </w:tcPr>
          <w:p w:rsidRPr="006F77B8" w:rsidR="008A72E3" w:rsidP="008A72E3" w:rsidRDefault="008A72E3" w14:paraId="1618D160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hideMark/>
          </w:tcPr>
          <w:p w:rsidRPr="006F77B8" w:rsidR="008A72E3" w:rsidP="008A72E3" w:rsidRDefault="008A72E3" w14:paraId="5124FC88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hideMark/>
          </w:tcPr>
          <w:p w:rsidRPr="006F77B8" w:rsidR="008A72E3" w:rsidP="008A72E3" w:rsidRDefault="008A72E3" w14:paraId="12F8D124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hideMark/>
          </w:tcPr>
          <w:p w:rsidRPr="006F77B8" w:rsidR="008A72E3" w:rsidP="008A72E3" w:rsidRDefault="008A72E3" w14:paraId="6E7BFC7C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6F77B8" w:rsidR="008A72E3" w:rsidP="008A72E3" w:rsidRDefault="008A72E3" w14:paraId="259219E8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hideMark/>
          </w:tcPr>
          <w:p w:rsidRPr="00F71B6D" w:rsidR="008A72E3" w:rsidP="008A72E3" w:rsidRDefault="008A72E3" w14:paraId="70F8B2AB" w14:textId="77777777">
            <w:pPr>
              <w:spacing w:line="203" w:lineRule="exact"/>
              <w:jc w:val="center"/>
              <w:rPr>
                <w:b/>
                <w:bCs/>
                <w:sz w:val="16"/>
                <w:szCs w:val="16"/>
              </w:rPr>
            </w:pPr>
            <w:r w:rsidRPr="00F71B6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6F77B8" w:rsidR="008A72E3" w:rsidP="008A72E3" w:rsidRDefault="008A72E3" w14:paraId="0FEB3EB6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EE6BD3" w:rsidTr="069F2419" w14:paraId="1B5015F3" w14:textId="77777777">
        <w:tc>
          <w:tcPr>
            <w:tcW w:w="2122" w:type="dxa"/>
            <w:tcMar/>
          </w:tcPr>
          <w:p w:rsidRPr="00A20196" w:rsidR="00EE6BD3" w:rsidP="00EE6BD3" w:rsidRDefault="00EE6BD3" w14:paraId="59BC11FD" w14:textId="7B37C88E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2.2.5. Interprets and responds to existing records.</w:t>
            </w:r>
          </w:p>
        </w:tc>
        <w:tc>
          <w:tcPr>
            <w:tcW w:w="1417" w:type="dxa"/>
            <w:tcMar/>
          </w:tcPr>
          <w:p w:rsidRPr="00A20196" w:rsidR="00EE6BD3" w:rsidP="00EE6BD3" w:rsidRDefault="00E608BF" w14:paraId="1F0AF7CB" w14:textId="7203BEE8">
            <w:pPr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="00EE6BD3" w:rsidP="00EE6BD3" w:rsidRDefault="00EE6BD3" w14:paraId="1A4C9AAB" w14:textId="733C397B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Makes a decision</w:t>
            </w: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based on</w:t>
            </w: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their own and </w:t>
            </w: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previous</w:t>
            </w: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findings. </w:t>
            </w:r>
          </w:p>
          <w:p w:rsidR="00EE6BD3" w:rsidP="00EE6BD3" w:rsidRDefault="00EE6BD3" w14:paraId="07D65ACE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Modifies their actions appropriately as a response to relevant history or previous records.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Identifies and responds to the significance of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: </w:t>
            </w:r>
          </w:p>
          <w:p w:rsidR="00EE6BD3" w:rsidP="00EE6BD3" w:rsidRDefault="00EE6BD3" w14:paraId="45664BA8" w14:textId="524687A8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refractive change/ocular status</w:t>
            </w:r>
          </w:p>
          <w:p w:rsidR="00EE6BD3" w:rsidP="00EE6BD3" w:rsidRDefault="00EE6BD3" w14:paraId="00713611" w14:textId="26EE260E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clinical findings, for example, reduced VA</w:t>
            </w:r>
          </w:p>
          <w:p w:rsidR="00EE6BD3" w:rsidP="00EE6BD3" w:rsidRDefault="00EE6BD3" w14:paraId="1233C8F9" w14:textId="6CF572C4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</w:t>
            </w: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previous</w:t>
            </w: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form of optical correction</w:t>
            </w:r>
            <w:r w:rsidRPr="069F2419" w:rsidR="00F32E1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</w:t>
            </w:r>
          </w:p>
          <w:p w:rsidR="497B14A2" w:rsidP="497B14A2" w:rsidRDefault="497B14A2" w14:paraId="48AA0D5E" w14:textId="3A62680B">
            <w:pPr>
              <w:widowControl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  <w:p w:rsidRPr="002649A8" w:rsidR="002649A8" w:rsidP="497B14A2" w:rsidRDefault="00EE6BD3" w14:paraId="50A0006F" w14:textId="434E6875">
            <w:pPr>
              <w:widowControl w:val="1"/>
              <w:autoSpaceDE/>
              <w:autoSpaceDN/>
              <w:rPr>
                <w:rFonts w:eastAsia="Times New Roman"/>
                <w:b w:val="1"/>
                <w:bCs w:val="1"/>
                <w:color w:val="000000"/>
                <w:sz w:val="18"/>
                <w:szCs w:val="18"/>
                <w:u w:val="single"/>
                <w:lang w:val="en-GB" w:eastAsia="en-GB"/>
              </w:rPr>
            </w:pPr>
            <w:r w:rsidRPr="069F2419" w:rsidR="00EE6BD3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  <w:lang w:val="en-GB" w:eastAsia="en-GB"/>
              </w:rPr>
              <w:t>Additional</w:t>
            </w:r>
            <w:r w:rsidRPr="069F2419" w:rsidR="00EE6BD3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  <w:lang w:val="en-GB" w:eastAsia="en-GB"/>
              </w:rPr>
              <w:t xml:space="preserve"> guidance</w:t>
            </w:r>
          </w:p>
          <w:p w:rsidRPr="00EE6BD3" w:rsidR="00EE6BD3" w:rsidP="00EE6BD3" w:rsidRDefault="00EE6BD3" w14:paraId="02D0FB45" w14:textId="50099071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The </w:t>
            </w: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previous</w:t>
            </w:r>
            <w:r w:rsidRPr="069F2419" w:rsidR="00EE6BD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record should be made available by the trainee</w:t>
            </w:r>
            <w:r w:rsidRPr="069F2419" w:rsidR="00E0750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2410" w:type="dxa"/>
            <w:tcMar/>
          </w:tcPr>
          <w:p w:rsidRPr="00A20196" w:rsidR="00EE6BD3" w:rsidP="00EE6BD3" w:rsidRDefault="00EE6BD3" w14:paraId="26443559" w14:textId="050C315A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Patient where a clinical management decision has been made based on previous records.</w:t>
            </w:r>
          </w:p>
        </w:tc>
        <w:tc>
          <w:tcPr>
            <w:tcW w:w="1559" w:type="dxa"/>
            <w:tcMar/>
          </w:tcPr>
          <w:p w:rsidR="00EE6BD3" w:rsidP="00EE6BD3" w:rsidRDefault="00EE6BD3" w14:paraId="3FCDF681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EE6BD3" w:rsidP="00EE6BD3" w:rsidRDefault="002C22BE" w14:paraId="21BF626A" w14:textId="309135E8">
            <w:pPr>
              <w:spacing w:line="203" w:lineRule="exact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APR/</w:t>
            </w:r>
            <w:r w:rsidR="00275699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  <w:r w:rsidR="00EE6BD3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________</w:t>
            </w:r>
          </w:p>
        </w:tc>
        <w:tc>
          <w:tcPr>
            <w:tcW w:w="1276" w:type="dxa"/>
            <w:tcMar/>
          </w:tcPr>
          <w:p w:rsidRPr="00A20196" w:rsidR="00EE6BD3" w:rsidP="00EE6BD3" w:rsidRDefault="00EE6BD3" w14:paraId="462F4723" w14:textId="6BD30026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EE6BD3" w:rsidP="00EE6BD3" w:rsidRDefault="00EE6BD3" w14:paraId="18B9AB6B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EE6BD3" w:rsidP="00EE6BD3" w:rsidRDefault="00EE6BD3" w14:paraId="5A54E68B" w14:textId="77777777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EE6BD3" w:rsidP="00EE6BD3" w:rsidRDefault="00EE6BD3" w14:paraId="2AC8BF1B" w14:textId="77777777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EE6BD3" w:rsidP="00EE6BD3" w:rsidRDefault="00EE6BD3" w14:paraId="1EC8E042" w14:textId="061D3D63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EE6BD3" w:rsidTr="069F2419" w14:paraId="38D26446" w14:textId="77777777">
        <w:trPr>
          <w:trHeight w:val="1020"/>
        </w:trPr>
        <w:tc>
          <w:tcPr>
            <w:tcW w:w="15304" w:type="dxa"/>
            <w:gridSpan w:val="7"/>
            <w:tcMar/>
            <w:hideMark/>
          </w:tcPr>
          <w:p w:rsidRPr="00A20196" w:rsidR="00EE6BD3" w:rsidP="00D86081" w:rsidRDefault="00EE6BD3" w14:paraId="3FEE6CD8" w14:textId="7A4FC61F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Assessor Notes</w:t>
            </w:r>
          </w:p>
        </w:tc>
      </w:tr>
      <w:tr w:rsidRPr="00A20196" w:rsidR="00EE6BD3" w:rsidTr="069F2419" w14:paraId="413379EB" w14:textId="77777777">
        <w:tc>
          <w:tcPr>
            <w:tcW w:w="15304" w:type="dxa"/>
            <w:gridSpan w:val="7"/>
            <w:shd w:val="clear" w:color="auto" w:fill="F2F2F2" w:themeFill="background1" w:themeFillShade="F2"/>
            <w:tcMar/>
            <w:hideMark/>
          </w:tcPr>
          <w:p w:rsidRPr="009B47C6" w:rsidR="00EE6BD3" w:rsidP="00EE6BD3" w:rsidRDefault="00EE6BD3" w14:paraId="0A38DB71" w14:textId="77777777">
            <w:pPr>
              <w:spacing w:line="203" w:lineRule="exact"/>
              <w:jc w:val="center"/>
              <w:rPr>
                <w:b/>
                <w:bCs/>
              </w:rPr>
            </w:pPr>
          </w:p>
          <w:p w:rsidR="00EE6BD3" w:rsidP="00237951" w:rsidRDefault="00EE6BD3" w14:paraId="7962B32E" w14:textId="77777777">
            <w:pPr>
              <w:spacing w:line="203" w:lineRule="exact"/>
            </w:pPr>
            <w:r w:rsidRPr="009B47C6">
              <w:rPr>
                <w:b/>
                <w:bCs/>
              </w:rPr>
              <w:t xml:space="preserve">Unit of competence 4. Optical appliances – </w:t>
            </w:r>
            <w:r w:rsidRPr="009B47C6">
              <w:t>The ability to dispense an appropriate optical appliance</w:t>
            </w:r>
          </w:p>
          <w:p w:rsidRPr="00237951" w:rsidR="00237951" w:rsidP="00237951" w:rsidRDefault="00237951" w14:paraId="6B4495CB" w14:textId="45CDBEFD">
            <w:pPr>
              <w:spacing w:line="203" w:lineRule="exact"/>
            </w:pPr>
          </w:p>
        </w:tc>
      </w:tr>
      <w:tr w:rsidRPr="00A20196" w:rsidR="00EE6BD3" w:rsidTr="069F2419" w14:paraId="7AC21D98" w14:textId="77777777">
        <w:tc>
          <w:tcPr>
            <w:tcW w:w="2122" w:type="dxa"/>
            <w:shd w:val="clear" w:color="auto" w:fill="F2F2F2" w:themeFill="background1" w:themeFillShade="F2"/>
            <w:tcMar/>
            <w:hideMark/>
          </w:tcPr>
          <w:p w:rsidRPr="006A7E3F" w:rsidR="00EE6BD3" w:rsidP="00EE6BD3" w:rsidRDefault="00EE6BD3" w14:paraId="6ED8F8DF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hideMark/>
          </w:tcPr>
          <w:p w:rsidRPr="006A7E3F" w:rsidR="00EE6BD3" w:rsidP="00EE6BD3" w:rsidRDefault="00EE6BD3" w14:paraId="14D06E50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hideMark/>
          </w:tcPr>
          <w:p w:rsidRPr="006A7E3F" w:rsidR="00EE6BD3" w:rsidP="00EE6BD3" w:rsidRDefault="00EE6BD3" w14:paraId="1B24AABD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hideMark/>
          </w:tcPr>
          <w:p w:rsidRPr="006A7E3F" w:rsidR="00EE6BD3" w:rsidP="00EE6BD3" w:rsidRDefault="00EE6BD3" w14:paraId="68B6C68F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6A7E3F" w:rsidR="00EE6BD3" w:rsidP="00EE6BD3" w:rsidRDefault="00EE6BD3" w14:paraId="46EC5B1A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hideMark/>
          </w:tcPr>
          <w:p w:rsidRPr="00F71B6D" w:rsidR="00EE6BD3" w:rsidP="00EE6BD3" w:rsidRDefault="00EE6BD3" w14:paraId="746FD7A6" w14:textId="77777777">
            <w:pPr>
              <w:spacing w:line="203" w:lineRule="exact"/>
              <w:jc w:val="center"/>
              <w:rPr>
                <w:b/>
                <w:bCs/>
                <w:sz w:val="16"/>
                <w:szCs w:val="16"/>
              </w:rPr>
            </w:pPr>
            <w:r w:rsidRPr="00F71B6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6A7E3F" w:rsidR="00EE6BD3" w:rsidP="00EE6BD3" w:rsidRDefault="00EE6BD3" w14:paraId="01B0E808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237951" w:rsidTr="069F2419" w14:paraId="3B0CBCEB" w14:textId="77777777">
        <w:tc>
          <w:tcPr>
            <w:tcW w:w="2122" w:type="dxa"/>
            <w:tcMar/>
          </w:tcPr>
          <w:p w:rsidRPr="00A20196" w:rsidR="00237951" w:rsidP="00237951" w:rsidRDefault="00237951" w14:paraId="03F65440" w14:textId="2A342C42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4.1.7 Manages non- tolerance cases.</w:t>
            </w:r>
          </w:p>
        </w:tc>
        <w:tc>
          <w:tcPr>
            <w:tcW w:w="1417" w:type="dxa"/>
            <w:tcMar/>
          </w:tcPr>
          <w:p w:rsidRPr="00A20196" w:rsidR="00237951" w:rsidP="00237951" w:rsidRDefault="00237951" w14:paraId="1C0AC164" w14:textId="79BF6658">
            <w:pPr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Pr="00A20196" w:rsidR="00237951" w:rsidP="00237951" w:rsidRDefault="00237951" w14:paraId="63A9DE43" w14:textId="25A3332C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Identifies problems.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Undertakes appropriate investigation and takes appropriate action.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Explains to patient what course of action will be taken and obtains patient’s agreement.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Arranges follow-up if necessary.</w:t>
            </w:r>
          </w:p>
        </w:tc>
        <w:tc>
          <w:tcPr>
            <w:tcW w:w="2410" w:type="dxa"/>
            <w:tcMar/>
          </w:tcPr>
          <w:p w:rsidRPr="00A20196" w:rsidR="00237951" w:rsidP="00237951" w:rsidRDefault="00237951" w14:paraId="06C08E61" w14:textId="6820671A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Patient with intolerance to spectacles where investigations and action have been taken.</w:t>
            </w:r>
          </w:p>
        </w:tc>
        <w:tc>
          <w:tcPr>
            <w:tcW w:w="1559" w:type="dxa"/>
            <w:tcMar/>
          </w:tcPr>
          <w:p w:rsidR="00237951" w:rsidP="00237951" w:rsidRDefault="00237951" w14:paraId="3E203F91" w14:textId="77777777">
            <w:pPr>
              <w:spacing w:line="203" w:lineRule="exact"/>
              <w:rPr>
                <w:sz w:val="18"/>
              </w:rPr>
            </w:pPr>
          </w:p>
          <w:p w:rsidRPr="00A20196" w:rsidR="00237951" w:rsidP="00237951" w:rsidRDefault="002C22BE" w14:paraId="2422D124" w14:textId="1C34F84B">
            <w:pPr>
              <w:spacing w:line="203" w:lineRule="exact"/>
              <w:rPr>
                <w:sz w:val="18"/>
              </w:rPr>
            </w:pPr>
            <w:r>
              <w:rPr>
                <w:sz w:val="18"/>
              </w:rPr>
              <w:t>APR/</w:t>
            </w:r>
            <w:r w:rsidR="00237951">
              <w:rPr>
                <w:sz w:val="18"/>
              </w:rPr>
              <w:t>PR</w:t>
            </w:r>
            <w:r w:rsidRPr="00A20196" w:rsidR="00237951">
              <w:rPr>
                <w:sz w:val="18"/>
              </w:rPr>
              <w:t xml:space="preserve"> </w:t>
            </w:r>
            <w:r w:rsidR="00237951">
              <w:rPr>
                <w:sz w:val="18"/>
              </w:rPr>
              <w:t>__________</w:t>
            </w:r>
          </w:p>
        </w:tc>
        <w:tc>
          <w:tcPr>
            <w:tcW w:w="1276" w:type="dxa"/>
            <w:tcMar/>
          </w:tcPr>
          <w:p w:rsidRPr="00A20196" w:rsidR="00237951" w:rsidP="00237951" w:rsidRDefault="00237951" w14:paraId="66BE2ADE" w14:textId="2D99EA5A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237951" w:rsidP="00237951" w:rsidRDefault="00237951" w14:paraId="04C05A09" w14:textId="77777777">
            <w:pPr>
              <w:spacing w:line="203" w:lineRule="exact"/>
              <w:rPr>
                <w:sz w:val="18"/>
              </w:rPr>
            </w:pPr>
          </w:p>
          <w:p w:rsidR="00237951" w:rsidP="00237951" w:rsidRDefault="00237951" w14:paraId="64B59470" w14:textId="77777777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237951" w:rsidP="00237951" w:rsidRDefault="00237951" w14:paraId="6B6690F1" w14:textId="77777777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Pr="00A20196" w:rsidR="00237951" w:rsidP="00237951" w:rsidRDefault="00237951" w14:paraId="287F69DB" w14:textId="250C7EBB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237951" w:rsidTr="069F2419" w14:paraId="2621DD00" w14:textId="77777777">
        <w:trPr>
          <w:trHeight w:val="976"/>
        </w:trPr>
        <w:tc>
          <w:tcPr>
            <w:tcW w:w="15304" w:type="dxa"/>
            <w:gridSpan w:val="7"/>
            <w:tcMar/>
            <w:hideMark/>
          </w:tcPr>
          <w:p w:rsidR="00237951" w:rsidP="00237951" w:rsidRDefault="00237951" w14:paraId="5679DECB" w14:textId="33006FCB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Assessor Notes</w:t>
            </w:r>
          </w:p>
          <w:p w:rsidR="00237951" w:rsidP="00237951" w:rsidRDefault="00237951" w14:paraId="288D1051" w14:textId="10513F8C">
            <w:pPr>
              <w:spacing w:line="203" w:lineRule="exact"/>
              <w:rPr>
                <w:sz w:val="18"/>
              </w:rPr>
            </w:pPr>
          </w:p>
          <w:p w:rsidR="00237951" w:rsidP="00237951" w:rsidRDefault="00237951" w14:paraId="2A51604A" w14:textId="0C82C877">
            <w:pPr>
              <w:spacing w:line="203" w:lineRule="exact"/>
              <w:rPr>
                <w:sz w:val="18"/>
              </w:rPr>
            </w:pPr>
          </w:p>
          <w:p w:rsidRPr="00A20196" w:rsidR="00237951" w:rsidP="00237951" w:rsidRDefault="00237951" w14:paraId="4FCA7CC8" w14:textId="4612C2C3">
            <w:pPr>
              <w:spacing w:line="203" w:lineRule="exact"/>
              <w:rPr>
                <w:sz w:val="18"/>
              </w:rPr>
            </w:pPr>
          </w:p>
        </w:tc>
      </w:tr>
      <w:tr w:rsidRPr="00A20196" w:rsidR="00237951" w:rsidTr="069F2419" w14:paraId="25F0BBC7" w14:textId="77777777">
        <w:tc>
          <w:tcPr>
            <w:tcW w:w="15304" w:type="dxa"/>
            <w:gridSpan w:val="7"/>
            <w:shd w:val="clear" w:color="auto" w:fill="F2F2F2" w:themeFill="background1" w:themeFillShade="F2"/>
            <w:tcMar/>
            <w:hideMark/>
          </w:tcPr>
          <w:p w:rsidRPr="009B47C6" w:rsidR="00237951" w:rsidP="00237951" w:rsidRDefault="00237951" w14:paraId="1316DEBD" w14:textId="77777777">
            <w:pPr>
              <w:spacing w:line="203" w:lineRule="exact"/>
              <w:rPr>
                <w:b/>
                <w:bCs/>
              </w:rPr>
            </w:pPr>
          </w:p>
          <w:p w:rsidRPr="009B47C6" w:rsidR="00237951" w:rsidP="00237951" w:rsidRDefault="00237951" w14:paraId="3DE67DC2" w14:textId="04718C0F">
            <w:pPr>
              <w:spacing w:line="203" w:lineRule="exact"/>
            </w:pPr>
            <w:r w:rsidRPr="009B47C6">
              <w:rPr>
                <w:b/>
                <w:bCs/>
              </w:rPr>
              <w:t>Unit of competence 5. Contact lenses –</w:t>
            </w:r>
            <w:r w:rsidRPr="009B47C6">
              <w:t xml:space="preserve"> The ability to manage the fitting and aftercare of patients with contact lenses</w:t>
            </w:r>
          </w:p>
          <w:p w:rsidRPr="009B47C6" w:rsidR="00237951" w:rsidP="00237951" w:rsidRDefault="00237951" w14:paraId="7C280264" w14:textId="4E7343C8">
            <w:pPr>
              <w:spacing w:line="203" w:lineRule="exact"/>
              <w:rPr>
                <w:b/>
                <w:bCs/>
              </w:rPr>
            </w:pPr>
          </w:p>
        </w:tc>
      </w:tr>
      <w:tr w:rsidRPr="00A20196" w:rsidR="00237951" w:rsidTr="069F2419" w14:paraId="462ED2BA" w14:textId="77777777">
        <w:tc>
          <w:tcPr>
            <w:tcW w:w="2122" w:type="dxa"/>
            <w:shd w:val="clear" w:color="auto" w:fill="F2F2F2" w:themeFill="background1" w:themeFillShade="F2"/>
            <w:tcMar/>
            <w:hideMark/>
          </w:tcPr>
          <w:p w:rsidRPr="009B47C6" w:rsidR="00237951" w:rsidP="00237951" w:rsidRDefault="00237951" w14:paraId="1F60881A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hideMark/>
          </w:tcPr>
          <w:p w:rsidRPr="009B47C6" w:rsidR="00237951" w:rsidP="00237951" w:rsidRDefault="00237951" w14:paraId="555219DF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hideMark/>
          </w:tcPr>
          <w:p w:rsidRPr="009B47C6" w:rsidR="00237951" w:rsidP="00237951" w:rsidRDefault="00237951" w14:paraId="49B76457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hideMark/>
          </w:tcPr>
          <w:p w:rsidRPr="009B47C6" w:rsidR="00237951" w:rsidP="00237951" w:rsidRDefault="00237951" w14:paraId="1B913FC4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9B47C6" w:rsidR="00237951" w:rsidP="00237951" w:rsidRDefault="00237951" w14:paraId="2E47F3BB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hideMark/>
          </w:tcPr>
          <w:p w:rsidRPr="00F71B6D" w:rsidR="00237951" w:rsidP="00237951" w:rsidRDefault="00237951" w14:paraId="195E293F" w14:textId="77777777">
            <w:pPr>
              <w:spacing w:line="203" w:lineRule="exact"/>
              <w:jc w:val="center"/>
              <w:rPr>
                <w:b/>
                <w:bCs/>
                <w:sz w:val="16"/>
                <w:szCs w:val="16"/>
              </w:rPr>
            </w:pPr>
            <w:r w:rsidRPr="00F71B6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9B47C6" w:rsidR="00237951" w:rsidP="00237951" w:rsidRDefault="00237951" w14:paraId="4C612755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237951" w:rsidTr="069F2419" w14:paraId="351CA7B2" w14:textId="77777777">
        <w:tc>
          <w:tcPr>
            <w:tcW w:w="2122" w:type="dxa"/>
            <w:tcMar/>
          </w:tcPr>
          <w:p w:rsidRPr="00733F4E" w:rsidR="00237951" w:rsidP="00237951" w:rsidRDefault="00237951" w14:paraId="0D570429" w14:textId="1C5FCD33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69F2419" w:rsidR="0023795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5.3.3. Understands the techniques used in the fitting of complex contact lenses and </w:t>
            </w:r>
            <w:r w:rsidRPr="069F2419" w:rsidR="0023795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advises</w:t>
            </w:r>
            <w:r w:rsidRPr="069F2419" w:rsidR="0023795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patients requiring complex correction</w:t>
            </w:r>
            <w:r w:rsidRPr="069F2419" w:rsidR="00E86B28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417" w:type="dxa"/>
            <w:tcMar/>
          </w:tcPr>
          <w:p w:rsidRPr="00A20196" w:rsidR="00237951" w:rsidP="00237951" w:rsidRDefault="00237951" w14:paraId="5E476386" w14:textId="69AEC656">
            <w:pPr>
              <w:spacing w:line="203" w:lineRule="exact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CS</w:t>
            </w:r>
          </w:p>
        </w:tc>
        <w:tc>
          <w:tcPr>
            <w:tcW w:w="4961" w:type="dxa"/>
            <w:tcMar/>
          </w:tcPr>
          <w:p w:rsidR="006F38BF" w:rsidP="00237951" w:rsidRDefault="00237951" w14:paraId="4F2286EB" w14:textId="3A1ABC63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69F2419" w:rsidR="0023795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Knows the methods for the CL correction of aphakia, high ametropia, keratoconus, post-surgical and post-refractive surgery including:</w:t>
            </w:r>
            <w:r>
              <w:br/>
            </w:r>
            <w:r w:rsidRPr="069F2419" w:rsidR="0023795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the types of lenses available</w:t>
            </w:r>
          </w:p>
          <w:p w:rsidRPr="00733F4E" w:rsidR="00237951" w:rsidP="00237951" w:rsidRDefault="006F38BF" w14:paraId="73C1E238" w14:textId="33A988FA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69F2419" w:rsidR="006F38BF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</w:t>
            </w:r>
            <w:r w:rsidRPr="069F2419" w:rsidR="0023795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their fitting characteristics, fitting technique and any patient advice </w:t>
            </w:r>
            <w:r w:rsidRPr="069F2419" w:rsidR="0023795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required</w:t>
            </w:r>
            <w:r w:rsidRPr="069F2419" w:rsidR="0023795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when fitting these lenses.</w:t>
            </w:r>
          </w:p>
        </w:tc>
        <w:tc>
          <w:tcPr>
            <w:tcW w:w="2410" w:type="dxa"/>
            <w:tcMar/>
          </w:tcPr>
          <w:p w:rsidRPr="00A20196" w:rsidR="00237951" w:rsidP="00237951" w:rsidRDefault="00237951" w14:paraId="701076AD" w14:textId="09DAE82D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Pr="00A20196" w:rsidR="00237951" w:rsidP="00237951" w:rsidRDefault="00237951" w14:paraId="42A5C043" w14:textId="2E09B448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Mar/>
          </w:tcPr>
          <w:p w:rsidRPr="00A20196" w:rsidR="00237951" w:rsidP="00237951" w:rsidRDefault="00237951" w14:paraId="6BCD9617" w14:textId="4555EEE5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237951" w:rsidP="00237951" w:rsidRDefault="00237951" w14:paraId="0CBA9EA3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237951" w:rsidP="00237951" w:rsidRDefault="00237951" w14:paraId="6D1DBECE" w14:textId="77777777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237951" w:rsidP="00237951" w:rsidRDefault="00237951" w14:paraId="607C252B" w14:textId="77777777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237951" w:rsidP="00237951" w:rsidRDefault="00237951" w14:paraId="4903E2B2" w14:textId="292DE377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237951" w:rsidTr="069F2419" w14:paraId="0894F357" w14:textId="77777777">
        <w:trPr>
          <w:trHeight w:val="1085"/>
        </w:trPr>
        <w:tc>
          <w:tcPr>
            <w:tcW w:w="15304" w:type="dxa"/>
            <w:gridSpan w:val="7"/>
            <w:tcMar/>
            <w:hideMark/>
          </w:tcPr>
          <w:p w:rsidRPr="00A20196" w:rsidR="00237951" w:rsidP="006810A8" w:rsidRDefault="00237951" w14:paraId="0E1CF94F" w14:textId="73F2E399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Assessor Notes</w:t>
            </w:r>
          </w:p>
        </w:tc>
      </w:tr>
      <w:tr w:rsidRPr="00A20196" w:rsidR="00237951" w:rsidTr="069F2419" w14:paraId="4752C57B" w14:textId="77777777">
        <w:tc>
          <w:tcPr>
            <w:tcW w:w="15304" w:type="dxa"/>
            <w:gridSpan w:val="7"/>
            <w:shd w:val="clear" w:color="auto" w:fill="F2F2F2" w:themeFill="background1" w:themeFillShade="F2"/>
            <w:tcMar/>
            <w:hideMark/>
          </w:tcPr>
          <w:p w:rsidR="00237951" w:rsidP="00237951" w:rsidRDefault="00237951" w14:paraId="25ECFCDD" w14:textId="77777777">
            <w:pPr>
              <w:spacing w:line="203" w:lineRule="exact"/>
              <w:rPr>
                <w:b/>
                <w:bCs/>
              </w:rPr>
            </w:pPr>
          </w:p>
          <w:p w:rsidR="00237951" w:rsidP="00237951" w:rsidRDefault="00237951" w14:paraId="454E111C" w14:textId="49D8D91F">
            <w:pPr>
              <w:spacing w:line="203" w:lineRule="exact"/>
            </w:pPr>
            <w:r w:rsidRPr="008049D7">
              <w:rPr>
                <w:b/>
                <w:bCs/>
              </w:rPr>
              <w:t xml:space="preserve">Unit of competence 6. Ocular disease – </w:t>
            </w:r>
            <w:r w:rsidRPr="008049D7">
              <w:t>The ability to identify and manage ocular abnormalitie</w:t>
            </w:r>
            <w:r>
              <w:t>s</w:t>
            </w:r>
          </w:p>
          <w:p w:rsidRPr="008049D7" w:rsidR="00237951" w:rsidP="00237951" w:rsidRDefault="00237951" w14:paraId="55480774" w14:textId="5EF34958">
            <w:pPr>
              <w:spacing w:line="203" w:lineRule="exact"/>
              <w:rPr>
                <w:b/>
                <w:bCs/>
              </w:rPr>
            </w:pPr>
          </w:p>
        </w:tc>
      </w:tr>
      <w:tr w:rsidRPr="00A20196" w:rsidR="00237951" w:rsidTr="069F2419" w14:paraId="4BFEC7D3" w14:textId="77777777">
        <w:tc>
          <w:tcPr>
            <w:tcW w:w="2122" w:type="dxa"/>
            <w:shd w:val="clear" w:color="auto" w:fill="F2F2F2" w:themeFill="background1" w:themeFillShade="F2"/>
            <w:tcMar/>
            <w:hideMark/>
          </w:tcPr>
          <w:p w:rsidRPr="008049D7" w:rsidR="00237951" w:rsidP="00237951" w:rsidRDefault="00237951" w14:paraId="4D6EDF71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hideMark/>
          </w:tcPr>
          <w:p w:rsidRPr="008049D7" w:rsidR="00237951" w:rsidP="00237951" w:rsidRDefault="00237951" w14:paraId="317ED123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hideMark/>
          </w:tcPr>
          <w:p w:rsidRPr="008049D7" w:rsidR="00237951" w:rsidP="00237951" w:rsidRDefault="00237951" w14:paraId="6929F272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hideMark/>
          </w:tcPr>
          <w:p w:rsidRPr="008049D7" w:rsidR="00237951" w:rsidP="00237951" w:rsidRDefault="00237951" w14:paraId="0946EB3D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8049D7" w:rsidR="00237951" w:rsidP="00237951" w:rsidRDefault="00237951" w14:paraId="00BB4540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hideMark/>
          </w:tcPr>
          <w:p w:rsidRPr="00070BED" w:rsidR="00237951" w:rsidP="00237951" w:rsidRDefault="00237951" w14:paraId="2B5C63AB" w14:textId="77777777">
            <w:pPr>
              <w:spacing w:line="203" w:lineRule="exact"/>
              <w:jc w:val="center"/>
              <w:rPr>
                <w:b/>
                <w:bCs/>
                <w:sz w:val="16"/>
                <w:szCs w:val="16"/>
              </w:rPr>
            </w:pPr>
            <w:r w:rsidRPr="00070BE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8049D7" w:rsidR="00237951" w:rsidP="00237951" w:rsidRDefault="00237951" w14:paraId="1268728A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A725A5" w:rsidTr="069F2419" w14:paraId="5672BCAA" w14:textId="77777777">
        <w:trPr>
          <w:trHeight w:val="2493"/>
        </w:trPr>
        <w:tc>
          <w:tcPr>
            <w:tcW w:w="2122" w:type="dxa"/>
            <w:tcMar/>
          </w:tcPr>
          <w:p w:rsidRPr="00A20196" w:rsidR="00A725A5" w:rsidP="00A725A5" w:rsidRDefault="00A725A5" w14:paraId="0844C7E1" w14:textId="43777D13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6.1.14 Assesses signs and symptoms of neurological significance.</w:t>
            </w:r>
          </w:p>
        </w:tc>
        <w:tc>
          <w:tcPr>
            <w:tcW w:w="1417" w:type="dxa"/>
            <w:tcMar/>
          </w:tcPr>
          <w:p w:rsidRPr="00A20196" w:rsidR="00A725A5" w:rsidP="00A725A5" w:rsidRDefault="00A725A5" w14:paraId="51B4B2D7" w14:textId="22A413D6">
            <w:pPr>
              <w:spacing w:line="203" w:lineRule="exact"/>
              <w:jc w:val="center"/>
              <w:rPr>
                <w:sz w:val="18"/>
              </w:rPr>
            </w:pPr>
            <w:r w:rsidRPr="00A20196"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="00A725A5" w:rsidP="069F2419" w:rsidRDefault="00A725A5" w14:paraId="1FA25AFB" w14:textId="5ADB7CCA">
            <w:pPr>
              <w:spacing w:line="203" w:lineRule="exact"/>
              <w:rPr>
                <w:b w:val="1"/>
                <w:bCs w:val="1"/>
                <w:sz w:val="18"/>
                <w:szCs w:val="18"/>
              </w:rPr>
            </w:pPr>
            <w:r w:rsidRPr="069F2419" w:rsidR="00A725A5">
              <w:rPr>
                <w:sz w:val="18"/>
                <w:szCs w:val="18"/>
              </w:rPr>
              <w:t>Assess</w:t>
            </w:r>
            <w:r w:rsidRPr="069F2419" w:rsidR="000E549A">
              <w:rPr>
                <w:sz w:val="18"/>
                <w:szCs w:val="18"/>
              </w:rPr>
              <w:t>es</w:t>
            </w:r>
            <w:r w:rsidRPr="069F2419" w:rsidR="00A725A5">
              <w:rPr>
                <w:sz w:val="18"/>
                <w:szCs w:val="18"/>
              </w:rPr>
              <w:t xml:space="preserve"> the relevant symptoms and signs.</w:t>
            </w:r>
            <w:r>
              <w:br/>
            </w:r>
            <w:r w:rsidRPr="069F2419" w:rsidR="00A725A5">
              <w:rPr>
                <w:sz w:val="18"/>
                <w:szCs w:val="18"/>
              </w:rPr>
              <w:t xml:space="preserve">Understands which signs/symptoms could relate to a neurological condition and the follow up information </w:t>
            </w:r>
            <w:r w:rsidRPr="069F2419" w:rsidR="00A725A5">
              <w:rPr>
                <w:sz w:val="18"/>
                <w:szCs w:val="18"/>
              </w:rPr>
              <w:t>required</w:t>
            </w:r>
            <w:r w:rsidRPr="069F2419" w:rsidR="00A725A5">
              <w:rPr>
                <w:sz w:val="18"/>
                <w:szCs w:val="18"/>
              </w:rPr>
              <w:t xml:space="preserve"> to make a differential diagnosis.</w:t>
            </w:r>
            <w:r>
              <w:br/>
            </w:r>
            <w:r w:rsidRPr="069F2419" w:rsidR="00A725A5">
              <w:rPr>
                <w:sz w:val="18"/>
                <w:szCs w:val="18"/>
              </w:rPr>
              <w:t>Understands the significance and relative importance of the findings. Manages appropriately.</w:t>
            </w:r>
            <w:r>
              <w:br/>
            </w:r>
          </w:p>
          <w:p w:rsidRPr="00A20196" w:rsidR="00A725A5" w:rsidP="497B14A2" w:rsidRDefault="00A725A5" w14:paraId="1C3DD379" w14:textId="4BDF32F7">
            <w:pPr>
              <w:spacing w:line="203" w:lineRule="exact"/>
              <w:rPr>
                <w:sz w:val="18"/>
                <w:szCs w:val="18"/>
              </w:rPr>
            </w:pPr>
            <w:r w:rsidRPr="069F2419" w:rsidR="00A725A5">
              <w:rPr>
                <w:b w:val="1"/>
                <w:bCs w:val="1"/>
                <w:sz w:val="18"/>
                <w:szCs w:val="18"/>
                <w:u w:val="single"/>
              </w:rPr>
              <w:t>Additional Guidance</w:t>
            </w:r>
            <w:r>
              <w:br/>
            </w:r>
            <w:r w:rsidRPr="069F2419" w:rsidR="00A725A5">
              <w:rPr>
                <w:sz w:val="18"/>
                <w:szCs w:val="18"/>
              </w:rPr>
              <w:t>A patient with an ocular migraine or a headache may be acceptable if there was a justifiable reason to consider that it was of neurological origin. Non- specific headaches are not acceptable</w:t>
            </w:r>
            <w:r w:rsidRPr="069F2419" w:rsidR="00DE0263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tcMar/>
          </w:tcPr>
          <w:p w:rsidRPr="00A20196" w:rsidR="00A725A5" w:rsidP="00A725A5" w:rsidRDefault="00A725A5" w14:paraId="0AE69BFB" w14:textId="03C50C1C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Patient presenting with a visual symptom or ocular sign suggestive of a neurological condition.</w:t>
            </w:r>
          </w:p>
        </w:tc>
        <w:tc>
          <w:tcPr>
            <w:tcW w:w="1559" w:type="dxa"/>
            <w:tcMar/>
          </w:tcPr>
          <w:p w:rsidR="00A725A5" w:rsidP="00A725A5" w:rsidRDefault="00A725A5" w14:paraId="396E51E8" w14:textId="77777777">
            <w:pPr>
              <w:spacing w:line="203" w:lineRule="exact"/>
              <w:rPr>
                <w:sz w:val="18"/>
              </w:rPr>
            </w:pPr>
          </w:p>
          <w:p w:rsidRPr="00A20196" w:rsidR="00A725A5" w:rsidP="00A725A5" w:rsidRDefault="002C22BE" w14:paraId="4BFAA98D" w14:textId="79E53C65">
            <w:pPr>
              <w:spacing w:line="203" w:lineRule="exact"/>
              <w:rPr>
                <w:sz w:val="18"/>
              </w:rPr>
            </w:pPr>
            <w:r>
              <w:rPr>
                <w:sz w:val="18"/>
              </w:rPr>
              <w:t>APR/</w:t>
            </w:r>
            <w:r w:rsidRPr="00A20196" w:rsidR="00A725A5">
              <w:rPr>
                <w:sz w:val="18"/>
              </w:rPr>
              <w:t>PR</w:t>
            </w:r>
            <w:r w:rsidR="00A725A5">
              <w:rPr>
                <w:sz w:val="18"/>
              </w:rPr>
              <w:t xml:space="preserve"> _________</w:t>
            </w:r>
          </w:p>
        </w:tc>
        <w:tc>
          <w:tcPr>
            <w:tcW w:w="1276" w:type="dxa"/>
            <w:tcMar/>
          </w:tcPr>
          <w:p w:rsidRPr="00A20196" w:rsidR="00A725A5" w:rsidP="00A725A5" w:rsidRDefault="00A725A5" w14:paraId="6A4756FE" w14:textId="0667687D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A725A5" w:rsidP="00A725A5" w:rsidRDefault="00A725A5" w14:paraId="48202FD8" w14:textId="77777777">
            <w:pPr>
              <w:spacing w:line="203" w:lineRule="exact"/>
              <w:rPr>
                <w:sz w:val="18"/>
              </w:rPr>
            </w:pPr>
          </w:p>
          <w:p w:rsidR="00A725A5" w:rsidP="00A725A5" w:rsidRDefault="00A725A5" w14:paraId="317F33C7" w14:textId="77777777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A725A5" w:rsidP="00A725A5" w:rsidRDefault="00A725A5" w14:paraId="20BA7B5F" w14:textId="77777777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Pr="00A20196" w:rsidR="00A725A5" w:rsidP="00A725A5" w:rsidRDefault="00A725A5" w14:paraId="4DE14722" w14:textId="77F22D22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A725A5" w:rsidTr="069F2419" w14:paraId="2653CFA8" w14:textId="77777777">
        <w:tc>
          <w:tcPr>
            <w:tcW w:w="2122" w:type="dxa"/>
            <w:tcMar/>
          </w:tcPr>
          <w:p w:rsidRPr="00A20196" w:rsidR="00A725A5" w:rsidP="00A725A5" w:rsidRDefault="00A725A5" w14:paraId="0ABCB362" w14:textId="14C332FA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6.1.15 Recognises adverse ocular reactions to medication.</w:t>
            </w:r>
          </w:p>
        </w:tc>
        <w:tc>
          <w:tcPr>
            <w:tcW w:w="1417" w:type="dxa"/>
            <w:tcMar/>
          </w:tcPr>
          <w:p w:rsidRPr="00A20196" w:rsidR="00A725A5" w:rsidP="00A725A5" w:rsidRDefault="00A725A5" w14:paraId="043A601E" w14:textId="6EDAA92B">
            <w:pPr>
              <w:spacing w:line="203" w:lineRule="exact"/>
              <w:jc w:val="center"/>
              <w:rPr>
                <w:sz w:val="18"/>
              </w:rPr>
            </w:pPr>
            <w:r w:rsidRPr="00A20196"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Pr="00A20196" w:rsidR="00A725A5" w:rsidP="00A725A5" w:rsidRDefault="00A725A5" w14:paraId="4E860423" w14:textId="72433C41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Shows awareness relating to sources of information of adverse reactions.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Provides evidence of the recognition of an adverse reaction to medication (systemic or topical).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Identifies and/or lists the ocular adverse reactions to a range of common medications (systemic or topical).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Describes the reporting scheme.</w:t>
            </w:r>
          </w:p>
        </w:tc>
        <w:tc>
          <w:tcPr>
            <w:tcW w:w="2410" w:type="dxa"/>
            <w:tcMar/>
          </w:tcPr>
          <w:p w:rsidRPr="00A20196" w:rsidR="00A725A5" w:rsidP="00A725A5" w:rsidRDefault="00A725A5" w14:paraId="0659971F" w14:textId="6CBBD4E6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Patient with an adverse ocular reaction to topical or systemic medication.</w:t>
            </w:r>
          </w:p>
        </w:tc>
        <w:tc>
          <w:tcPr>
            <w:tcW w:w="1559" w:type="dxa"/>
            <w:tcMar/>
          </w:tcPr>
          <w:p w:rsidR="00A725A5" w:rsidP="00A725A5" w:rsidRDefault="00A725A5" w14:paraId="7CE3783B" w14:textId="77777777">
            <w:pPr>
              <w:spacing w:line="203" w:lineRule="exact"/>
              <w:rPr>
                <w:sz w:val="18"/>
              </w:rPr>
            </w:pPr>
          </w:p>
          <w:p w:rsidRPr="00A20196" w:rsidR="00A725A5" w:rsidP="00A725A5" w:rsidRDefault="002C22BE" w14:paraId="36074306" w14:textId="7F829FA7">
            <w:pPr>
              <w:spacing w:line="203" w:lineRule="exact"/>
              <w:rPr>
                <w:sz w:val="18"/>
              </w:rPr>
            </w:pPr>
            <w:r>
              <w:rPr>
                <w:sz w:val="18"/>
              </w:rPr>
              <w:t>APR/</w:t>
            </w:r>
            <w:r w:rsidR="00A725A5">
              <w:rPr>
                <w:sz w:val="18"/>
              </w:rPr>
              <w:t>PR __________</w:t>
            </w:r>
          </w:p>
        </w:tc>
        <w:tc>
          <w:tcPr>
            <w:tcW w:w="1276" w:type="dxa"/>
            <w:tcMar/>
          </w:tcPr>
          <w:p w:rsidRPr="00A20196" w:rsidR="00A725A5" w:rsidP="00A725A5" w:rsidRDefault="00A725A5" w14:paraId="4FA310F3" w14:textId="379F8169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A725A5" w:rsidP="00A725A5" w:rsidRDefault="00A725A5" w14:paraId="7D345CBA" w14:textId="77777777">
            <w:pPr>
              <w:spacing w:line="203" w:lineRule="exact"/>
              <w:rPr>
                <w:sz w:val="18"/>
              </w:rPr>
            </w:pPr>
          </w:p>
          <w:p w:rsidR="007B6836" w:rsidP="00A725A5" w:rsidRDefault="00A725A5" w14:paraId="767DAC08" w14:textId="77777777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7B6836" w:rsidP="00A725A5" w:rsidRDefault="00A725A5" w14:paraId="2F7956A9" w14:textId="77777777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Pr="00A20196" w:rsidR="00A725A5" w:rsidP="00A725A5" w:rsidRDefault="00A725A5" w14:paraId="3DCE16F7" w14:textId="4E3DAF42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A725A5" w:rsidTr="069F2419" w14:paraId="6693E03C" w14:textId="77777777">
        <w:trPr>
          <w:trHeight w:val="962"/>
        </w:trPr>
        <w:tc>
          <w:tcPr>
            <w:tcW w:w="15304" w:type="dxa"/>
            <w:gridSpan w:val="7"/>
            <w:tcMar/>
            <w:hideMark/>
          </w:tcPr>
          <w:p w:rsidRPr="00070BED" w:rsidR="00A725A5" w:rsidP="006810A8" w:rsidRDefault="00A725A5" w14:paraId="3EBCA85D" w14:textId="50BE8146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Assessor Notes</w:t>
            </w:r>
          </w:p>
        </w:tc>
      </w:tr>
      <w:tr w:rsidRPr="00A20196" w:rsidR="00A725A5" w:rsidTr="069F2419" w14:paraId="5A04238C" w14:textId="77777777">
        <w:tc>
          <w:tcPr>
            <w:tcW w:w="15304" w:type="dxa"/>
            <w:gridSpan w:val="7"/>
            <w:shd w:val="clear" w:color="auto" w:fill="F2F2F2" w:themeFill="background1" w:themeFillShade="F2"/>
            <w:tcMar/>
            <w:hideMark/>
          </w:tcPr>
          <w:p w:rsidR="00D86081" w:rsidP="00A725A5" w:rsidRDefault="00D86081" w14:paraId="6E7BEA39" w14:textId="77777777">
            <w:pPr>
              <w:spacing w:line="203" w:lineRule="exact"/>
              <w:rPr>
                <w:b/>
                <w:bCs/>
              </w:rPr>
            </w:pPr>
          </w:p>
          <w:p w:rsidR="00A725A5" w:rsidP="00A725A5" w:rsidRDefault="00A725A5" w14:paraId="78B05896" w14:textId="3C143682">
            <w:pPr>
              <w:spacing w:line="203" w:lineRule="exact"/>
              <w:rPr>
                <w:sz w:val="20"/>
                <w:szCs w:val="20"/>
              </w:rPr>
            </w:pPr>
            <w:r w:rsidRPr="008049D7">
              <w:rPr>
                <w:b/>
                <w:bCs/>
              </w:rPr>
              <w:t xml:space="preserve">Unit of competence 8. Assessment and management of binocular vision </w:t>
            </w:r>
            <w:r w:rsidRPr="008049D7">
              <w:rPr>
                <w:b/>
                <w:bCs/>
                <w:sz w:val="20"/>
                <w:szCs w:val="20"/>
              </w:rPr>
              <w:t xml:space="preserve">– </w:t>
            </w:r>
            <w:r w:rsidRPr="008049D7">
              <w:rPr>
                <w:sz w:val="20"/>
                <w:szCs w:val="20"/>
              </w:rPr>
              <w:t>The ability to assess and manage patients with anomalies of binocular vision</w:t>
            </w:r>
          </w:p>
          <w:p w:rsidRPr="008049D7" w:rsidR="00A725A5" w:rsidP="00A725A5" w:rsidRDefault="00A725A5" w14:paraId="5A110546" w14:textId="375FFE6C">
            <w:pPr>
              <w:spacing w:line="203" w:lineRule="exact"/>
              <w:rPr>
                <w:b/>
                <w:bCs/>
              </w:rPr>
            </w:pPr>
          </w:p>
        </w:tc>
      </w:tr>
      <w:tr w:rsidRPr="00A20196" w:rsidR="00A725A5" w:rsidTr="069F2419" w14:paraId="0027E8DA" w14:textId="77777777">
        <w:tc>
          <w:tcPr>
            <w:tcW w:w="2122" w:type="dxa"/>
            <w:shd w:val="clear" w:color="auto" w:fill="F2F2F2" w:themeFill="background1" w:themeFillShade="F2"/>
            <w:tcMar/>
            <w:hideMark/>
          </w:tcPr>
          <w:p w:rsidRPr="008049D7" w:rsidR="00A725A5" w:rsidP="00A725A5" w:rsidRDefault="00A725A5" w14:paraId="6BD498E2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hideMark/>
          </w:tcPr>
          <w:p w:rsidRPr="008049D7" w:rsidR="00A725A5" w:rsidP="00A725A5" w:rsidRDefault="00A725A5" w14:paraId="55FA0CF0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hideMark/>
          </w:tcPr>
          <w:p w:rsidRPr="008049D7" w:rsidR="00A725A5" w:rsidP="00A725A5" w:rsidRDefault="00A725A5" w14:paraId="74CF3052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hideMark/>
          </w:tcPr>
          <w:p w:rsidRPr="008049D7" w:rsidR="00A725A5" w:rsidP="00A725A5" w:rsidRDefault="00A725A5" w14:paraId="4B7DB186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8049D7" w:rsidR="00A725A5" w:rsidP="00A725A5" w:rsidRDefault="00A725A5" w14:paraId="301045B6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hideMark/>
          </w:tcPr>
          <w:p w:rsidRPr="00070BED" w:rsidR="00A725A5" w:rsidP="00A725A5" w:rsidRDefault="00A725A5" w14:paraId="7B4F1D66" w14:textId="77777777">
            <w:pPr>
              <w:spacing w:line="203" w:lineRule="exact"/>
              <w:jc w:val="center"/>
              <w:rPr>
                <w:b/>
                <w:bCs/>
                <w:sz w:val="16"/>
                <w:szCs w:val="16"/>
              </w:rPr>
            </w:pPr>
            <w:r w:rsidRPr="00070BE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hideMark/>
          </w:tcPr>
          <w:p w:rsidRPr="008049D7" w:rsidR="00A725A5" w:rsidP="00A725A5" w:rsidRDefault="00A725A5" w14:paraId="2527BA6F" w14:textId="77777777">
            <w:pPr>
              <w:spacing w:line="203" w:lineRule="exact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A725A5" w:rsidTr="069F2419" w14:paraId="2D52E8AC" w14:textId="77777777">
        <w:trPr>
          <w:trHeight w:val="1872"/>
        </w:trPr>
        <w:tc>
          <w:tcPr>
            <w:tcW w:w="2122" w:type="dxa"/>
            <w:tcMar/>
          </w:tcPr>
          <w:p w:rsidRPr="00A20196" w:rsidR="00A725A5" w:rsidP="00A725A5" w:rsidRDefault="00A725A5" w14:paraId="161CB356" w14:textId="25F1C71A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8.1.4. Manages adult patients with heterotropia.</w:t>
            </w:r>
          </w:p>
        </w:tc>
        <w:tc>
          <w:tcPr>
            <w:tcW w:w="1417" w:type="dxa"/>
            <w:tcMar/>
          </w:tcPr>
          <w:p w:rsidRPr="00A20196" w:rsidR="00A725A5" w:rsidP="00A725A5" w:rsidRDefault="008F7414" w14:paraId="6618B04D" w14:textId="1C4502F3">
            <w:pPr>
              <w:spacing w:line="203" w:lineRule="exact"/>
              <w:jc w:val="center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</w:p>
        </w:tc>
        <w:tc>
          <w:tcPr>
            <w:tcW w:w="4961" w:type="dxa"/>
            <w:tcMar/>
          </w:tcPr>
          <w:p w:rsidRPr="00A20196" w:rsidR="00A725A5" w:rsidP="00A725A5" w:rsidRDefault="00A725A5" w14:paraId="5C305BCF" w14:textId="67F1A44C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Identifies onset and type of tropia from appropriate questions during symptoms and history and appropriate clinical tests.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Demonstrates appropriate management of different types and onsets of tropia.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Understands treatment options including potential 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enefits/limitations of squint surgery.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Gives advice to patient about their condition and possible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effect on lifestyle, e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g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driving.</w:t>
            </w:r>
          </w:p>
        </w:tc>
        <w:tc>
          <w:tcPr>
            <w:tcW w:w="2410" w:type="dxa"/>
            <w:tcMar/>
          </w:tcPr>
          <w:p w:rsidRPr="00A20196" w:rsidR="00A725A5" w:rsidP="00A725A5" w:rsidRDefault="00A725A5" w14:paraId="463EFE73" w14:textId="6B4674C2">
            <w:pPr>
              <w:spacing w:line="203" w:lineRule="exact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Adult patient with heterotropia</w:t>
            </w:r>
          </w:p>
        </w:tc>
        <w:tc>
          <w:tcPr>
            <w:tcW w:w="1559" w:type="dxa"/>
            <w:tcMar/>
          </w:tcPr>
          <w:p w:rsidR="00A725A5" w:rsidP="00A725A5" w:rsidRDefault="00A725A5" w14:paraId="08FA1A5C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A725A5" w:rsidP="00A725A5" w:rsidRDefault="002C22BE" w14:paraId="79B44AFB" w14:textId="60352964">
            <w:pPr>
              <w:spacing w:line="203" w:lineRule="exact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APR/</w:t>
            </w:r>
            <w:r w:rsidR="00A725A5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</w:t>
            </w:r>
            <w:r w:rsidRPr="007144FB" w:rsidR="00A725A5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tcMar/>
          </w:tcPr>
          <w:p w:rsidRPr="00A20196" w:rsidR="00A725A5" w:rsidP="00A725A5" w:rsidRDefault="00A725A5" w14:paraId="14AD6AC9" w14:textId="7A8476B0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A725A5" w:rsidP="00A725A5" w:rsidRDefault="00A725A5" w14:paraId="46CA3A3E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A725A5" w:rsidP="00A725A5" w:rsidRDefault="00A725A5" w14:paraId="77B373B5" w14:textId="77777777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A725A5" w:rsidP="00A725A5" w:rsidRDefault="00A725A5" w14:paraId="2EC13E11" w14:textId="77777777">
            <w:pPr>
              <w:spacing w:line="203" w:lineRule="exac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A725A5" w:rsidP="00A725A5" w:rsidRDefault="00A725A5" w14:paraId="5BE64E33" w14:textId="3A6AD02E">
            <w:pPr>
              <w:spacing w:line="203" w:lineRule="exact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A725A5" w:rsidTr="069F2419" w14:paraId="531B4B7A" w14:textId="77777777">
        <w:trPr>
          <w:trHeight w:val="1236"/>
        </w:trPr>
        <w:tc>
          <w:tcPr>
            <w:tcW w:w="15304" w:type="dxa"/>
            <w:gridSpan w:val="7"/>
            <w:tcMar/>
            <w:hideMark/>
          </w:tcPr>
          <w:p w:rsidRPr="00A20196" w:rsidR="00A725A5" w:rsidP="00A725A5" w:rsidRDefault="00A725A5" w14:paraId="2F7FC0FC" w14:textId="7B7B6F28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Assessor Notes</w:t>
            </w:r>
          </w:p>
        </w:tc>
      </w:tr>
    </w:tbl>
    <w:p w:rsidR="00691A56" w:rsidP="00CB161C" w:rsidRDefault="00691A56" w14:paraId="7A5FC9C4" w14:textId="5A5B88DF">
      <w:pPr>
        <w:tabs>
          <w:tab w:val="left" w:pos="11349"/>
        </w:tabs>
        <w:rPr>
          <w:rFonts w:ascii="Calibri" w:hAnsi="Calibri"/>
          <w:sz w:val="16"/>
        </w:rPr>
      </w:pPr>
    </w:p>
    <w:p w:rsidR="00C643EE" w:rsidP="00CB161C" w:rsidRDefault="00C643EE" w14:paraId="049EB0D3" w14:textId="56F25203">
      <w:pPr>
        <w:tabs>
          <w:tab w:val="left" w:pos="11349"/>
        </w:tabs>
        <w:rPr>
          <w:rFonts w:ascii="Calibri" w:hAnsi="Calibri"/>
          <w:sz w:val="16"/>
        </w:rPr>
      </w:pPr>
    </w:p>
    <w:p w:rsidRPr="005A1A48" w:rsidR="00920448" w:rsidP="00920448" w:rsidRDefault="00920448" w14:paraId="681FE3AB" w14:textId="77777777">
      <w:pPr>
        <w:rPr>
          <w:b/>
          <w:sz w:val="18"/>
          <w:szCs w:val="18"/>
        </w:rPr>
      </w:pPr>
      <w:r w:rsidRPr="005A1A48">
        <w:rPr>
          <w:b/>
          <w:sz w:val="18"/>
          <w:szCs w:val="18"/>
        </w:rPr>
        <w:t>Supervisor training review scores</w:t>
      </w:r>
    </w:p>
    <w:p w:rsidR="00920448" w:rsidP="00920448" w:rsidRDefault="00920448" w14:paraId="2A6E166D" w14:textId="77777777">
      <w:pPr>
        <w:rPr>
          <w:sz w:val="18"/>
          <w:szCs w:val="18"/>
        </w:rPr>
      </w:pPr>
    </w:p>
    <w:p w:rsidRPr="005A1A48" w:rsidR="00920448" w:rsidP="00920448" w:rsidRDefault="00920448" w14:paraId="5C5F1E60" w14:textId="77777777">
      <w:pPr>
        <w:rPr>
          <w:b/>
          <w:sz w:val="18"/>
          <w:szCs w:val="18"/>
        </w:rPr>
      </w:pPr>
      <w:r w:rsidRPr="005A1A48">
        <w:rPr>
          <w:b/>
          <w:sz w:val="18"/>
          <w:szCs w:val="18"/>
        </w:rPr>
        <w:t>Key:</w:t>
      </w:r>
    </w:p>
    <w:p w:rsidR="00920448" w:rsidP="00920448" w:rsidRDefault="00920448" w14:paraId="481D2D5B" w14:textId="77777777">
      <w:pPr>
        <w:rPr>
          <w:sz w:val="18"/>
          <w:szCs w:val="18"/>
        </w:rPr>
      </w:pPr>
      <w:r w:rsidRPr="005A1A48">
        <w:rPr>
          <w:b/>
          <w:sz w:val="18"/>
          <w:szCs w:val="18"/>
        </w:rPr>
        <w:t>Level 0</w:t>
      </w:r>
      <w:r>
        <w:rPr>
          <w:sz w:val="18"/>
          <w:szCs w:val="18"/>
        </w:rPr>
        <w:t xml:space="preserve"> – trainee has no experience in this area</w:t>
      </w:r>
    </w:p>
    <w:p w:rsidR="00920448" w:rsidP="00920448" w:rsidRDefault="00920448" w14:paraId="2261C5CA" w14:textId="77777777">
      <w:pPr>
        <w:rPr>
          <w:sz w:val="18"/>
          <w:szCs w:val="18"/>
        </w:rPr>
      </w:pPr>
      <w:r w:rsidRPr="005A1A48">
        <w:rPr>
          <w:b/>
          <w:sz w:val="18"/>
          <w:szCs w:val="18"/>
        </w:rPr>
        <w:t>Level 1</w:t>
      </w:r>
      <w:r>
        <w:rPr>
          <w:sz w:val="18"/>
          <w:szCs w:val="18"/>
        </w:rPr>
        <w:t xml:space="preserve"> – trainee demonstrates little understanding of the requirements for this area of practice and completes tasks only with detailed guidance from supervisor</w:t>
      </w:r>
    </w:p>
    <w:p w:rsidR="00920448" w:rsidP="00920448" w:rsidRDefault="00920448" w14:paraId="1BEDA609" w14:textId="77777777">
      <w:pPr>
        <w:rPr>
          <w:sz w:val="18"/>
          <w:szCs w:val="18"/>
        </w:rPr>
      </w:pPr>
      <w:r w:rsidRPr="005A1A48">
        <w:rPr>
          <w:b/>
          <w:sz w:val="18"/>
          <w:szCs w:val="18"/>
        </w:rPr>
        <w:t>Level 2</w:t>
      </w:r>
      <w:r>
        <w:rPr>
          <w:sz w:val="18"/>
          <w:szCs w:val="18"/>
        </w:rPr>
        <w:t xml:space="preserve"> – trainee demonstrates basic</w:t>
      </w:r>
      <w:r w:rsidRPr="005A1A48">
        <w:rPr>
          <w:sz w:val="18"/>
          <w:szCs w:val="18"/>
        </w:rPr>
        <w:t xml:space="preserve"> understanding of the requirements for this area of practice and </w:t>
      </w:r>
      <w:r>
        <w:rPr>
          <w:sz w:val="18"/>
          <w:szCs w:val="18"/>
        </w:rPr>
        <w:t>is able to complete some</w:t>
      </w:r>
      <w:r w:rsidRPr="005A1A48">
        <w:rPr>
          <w:sz w:val="18"/>
          <w:szCs w:val="18"/>
        </w:rPr>
        <w:t xml:space="preserve"> tasks only with</w:t>
      </w:r>
      <w:r>
        <w:rPr>
          <w:sz w:val="18"/>
          <w:szCs w:val="18"/>
        </w:rPr>
        <w:t>out</w:t>
      </w:r>
      <w:r w:rsidRPr="005A1A48">
        <w:rPr>
          <w:sz w:val="18"/>
          <w:szCs w:val="18"/>
        </w:rPr>
        <w:t xml:space="preserve"> det</w:t>
      </w:r>
      <w:r>
        <w:rPr>
          <w:sz w:val="18"/>
          <w:szCs w:val="18"/>
        </w:rPr>
        <w:t xml:space="preserve">ailed guidance </w:t>
      </w:r>
    </w:p>
    <w:p w:rsidRPr="004550A3" w:rsidR="00C643EE" w:rsidP="004550A3" w:rsidRDefault="00920448" w14:paraId="45A39730" w14:textId="3AB4CF21">
      <w:pPr>
        <w:rPr>
          <w:sz w:val="18"/>
          <w:szCs w:val="18"/>
        </w:rPr>
      </w:pPr>
      <w:r w:rsidRPr="005A1A48">
        <w:rPr>
          <w:b/>
          <w:sz w:val="18"/>
          <w:szCs w:val="18"/>
        </w:rPr>
        <w:t>Level 3</w:t>
      </w:r>
      <w:r>
        <w:rPr>
          <w:sz w:val="18"/>
          <w:szCs w:val="18"/>
        </w:rPr>
        <w:t xml:space="preserve"> – trainee demonstrates safe</w:t>
      </w:r>
      <w:r w:rsidRPr="005A1A48">
        <w:rPr>
          <w:sz w:val="18"/>
          <w:szCs w:val="18"/>
        </w:rPr>
        <w:t xml:space="preserve"> under</w:t>
      </w:r>
      <w:r>
        <w:rPr>
          <w:sz w:val="18"/>
          <w:szCs w:val="18"/>
        </w:rPr>
        <w:t>standing and ability in this area of practice, occasionally checking with others if uncertain</w:t>
      </w:r>
    </w:p>
    <w:sectPr w:rsidRPr="004550A3" w:rsidR="00C643EE">
      <w:headerReference w:type="default" r:id="rId11"/>
      <w:footerReference w:type="default" r:id="rId12"/>
      <w:pgSz w:w="16840" w:h="11910" w:orient="landscape"/>
      <w:pgMar w:top="420" w:right="52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2A69" w:rsidRDefault="00292A69" w14:paraId="66A0CA34" w14:textId="77777777">
      <w:r>
        <w:separator/>
      </w:r>
    </w:p>
  </w:endnote>
  <w:endnote w:type="continuationSeparator" w:id="0">
    <w:p w:rsidR="00292A69" w:rsidRDefault="00292A69" w14:paraId="02FEF2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7B0A" w:rsidRDefault="00E37B0A" w14:paraId="155EBD55" w14:textId="77777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2A69" w:rsidRDefault="00292A69" w14:paraId="3360130C" w14:textId="77777777">
      <w:r>
        <w:separator/>
      </w:r>
    </w:p>
  </w:footnote>
  <w:footnote w:type="continuationSeparator" w:id="0">
    <w:p w:rsidR="00292A69" w:rsidRDefault="00292A69" w14:paraId="0B198A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7B0A" w:rsidRDefault="00E37B0A" w14:paraId="29EE4878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564E9"/>
    <w:multiLevelType w:val="hybridMultilevel"/>
    <w:tmpl w:val="2C8C541C"/>
    <w:lvl w:ilvl="0" w:tplc="1BFA9504">
      <w:numFmt w:val="bullet"/>
      <w:lvlText w:val=""/>
      <w:lvlJc w:val="left"/>
      <w:pPr>
        <w:ind w:left="619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63505AD4">
      <w:numFmt w:val="bullet"/>
      <w:lvlText w:val="•"/>
      <w:lvlJc w:val="left"/>
      <w:pPr>
        <w:ind w:left="1067" w:hanging="170"/>
      </w:pPr>
      <w:rPr>
        <w:rFonts w:hint="default"/>
      </w:rPr>
    </w:lvl>
    <w:lvl w:ilvl="2" w:tplc="D34E15E8">
      <w:numFmt w:val="bullet"/>
      <w:lvlText w:val="•"/>
      <w:lvlJc w:val="left"/>
      <w:pPr>
        <w:ind w:left="1514" w:hanging="170"/>
      </w:pPr>
      <w:rPr>
        <w:rFonts w:hint="default"/>
      </w:rPr>
    </w:lvl>
    <w:lvl w:ilvl="3" w:tplc="D520DF96">
      <w:numFmt w:val="bullet"/>
      <w:lvlText w:val="•"/>
      <w:lvlJc w:val="left"/>
      <w:pPr>
        <w:ind w:left="1961" w:hanging="170"/>
      </w:pPr>
      <w:rPr>
        <w:rFonts w:hint="default"/>
      </w:rPr>
    </w:lvl>
    <w:lvl w:ilvl="4" w:tplc="2E282410">
      <w:numFmt w:val="bullet"/>
      <w:lvlText w:val="•"/>
      <w:lvlJc w:val="left"/>
      <w:pPr>
        <w:ind w:left="2408" w:hanging="170"/>
      </w:pPr>
      <w:rPr>
        <w:rFonts w:hint="default"/>
      </w:rPr>
    </w:lvl>
    <w:lvl w:ilvl="5" w:tplc="C58035B6">
      <w:numFmt w:val="bullet"/>
      <w:lvlText w:val="•"/>
      <w:lvlJc w:val="left"/>
      <w:pPr>
        <w:ind w:left="2856" w:hanging="170"/>
      </w:pPr>
      <w:rPr>
        <w:rFonts w:hint="default"/>
      </w:rPr>
    </w:lvl>
    <w:lvl w:ilvl="6" w:tplc="D9A4218C">
      <w:numFmt w:val="bullet"/>
      <w:lvlText w:val="•"/>
      <w:lvlJc w:val="left"/>
      <w:pPr>
        <w:ind w:left="3303" w:hanging="170"/>
      </w:pPr>
      <w:rPr>
        <w:rFonts w:hint="default"/>
      </w:rPr>
    </w:lvl>
    <w:lvl w:ilvl="7" w:tplc="4A923832">
      <w:numFmt w:val="bullet"/>
      <w:lvlText w:val="•"/>
      <w:lvlJc w:val="left"/>
      <w:pPr>
        <w:ind w:left="3750" w:hanging="170"/>
      </w:pPr>
      <w:rPr>
        <w:rFonts w:hint="default"/>
      </w:rPr>
    </w:lvl>
    <w:lvl w:ilvl="8" w:tplc="609CDCF8">
      <w:numFmt w:val="bullet"/>
      <w:lvlText w:val="•"/>
      <w:lvlJc w:val="left"/>
      <w:pPr>
        <w:ind w:left="4197" w:hanging="170"/>
      </w:pPr>
      <w:rPr>
        <w:rFonts w:hint="default"/>
      </w:rPr>
    </w:lvl>
  </w:abstractNum>
  <w:abstractNum w:abstractNumId="1" w15:restartNumberingAfterBreak="0">
    <w:nsid w:val="20662F06"/>
    <w:multiLevelType w:val="hybridMultilevel"/>
    <w:tmpl w:val="49D83486"/>
    <w:lvl w:ilvl="0" w:tplc="5192C8E6">
      <w:numFmt w:val="bullet"/>
      <w:lvlText w:val=""/>
      <w:lvlJc w:val="left"/>
      <w:pPr>
        <w:ind w:left="635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CF2AF8FC">
      <w:numFmt w:val="bullet"/>
      <w:lvlText w:val="•"/>
      <w:lvlJc w:val="left"/>
      <w:pPr>
        <w:ind w:left="1141" w:hanging="172"/>
      </w:pPr>
      <w:rPr>
        <w:rFonts w:hint="default"/>
      </w:rPr>
    </w:lvl>
    <w:lvl w:ilvl="2" w:tplc="9AE236C0">
      <w:numFmt w:val="bullet"/>
      <w:lvlText w:val="•"/>
      <w:lvlJc w:val="left"/>
      <w:pPr>
        <w:ind w:left="1643" w:hanging="172"/>
      </w:pPr>
      <w:rPr>
        <w:rFonts w:hint="default"/>
      </w:rPr>
    </w:lvl>
    <w:lvl w:ilvl="3" w:tplc="C4F6ABD2">
      <w:numFmt w:val="bullet"/>
      <w:lvlText w:val="•"/>
      <w:lvlJc w:val="left"/>
      <w:pPr>
        <w:ind w:left="2145" w:hanging="172"/>
      </w:pPr>
      <w:rPr>
        <w:rFonts w:hint="default"/>
      </w:rPr>
    </w:lvl>
    <w:lvl w:ilvl="4" w:tplc="155E06DC">
      <w:numFmt w:val="bullet"/>
      <w:lvlText w:val="•"/>
      <w:lvlJc w:val="left"/>
      <w:pPr>
        <w:ind w:left="2647" w:hanging="172"/>
      </w:pPr>
      <w:rPr>
        <w:rFonts w:hint="default"/>
      </w:rPr>
    </w:lvl>
    <w:lvl w:ilvl="5" w:tplc="9AB0CC5A">
      <w:numFmt w:val="bullet"/>
      <w:lvlText w:val="•"/>
      <w:lvlJc w:val="left"/>
      <w:pPr>
        <w:ind w:left="3149" w:hanging="172"/>
      </w:pPr>
      <w:rPr>
        <w:rFonts w:hint="default"/>
      </w:rPr>
    </w:lvl>
    <w:lvl w:ilvl="6" w:tplc="1AF23C52">
      <w:numFmt w:val="bullet"/>
      <w:lvlText w:val="•"/>
      <w:lvlJc w:val="left"/>
      <w:pPr>
        <w:ind w:left="3651" w:hanging="172"/>
      </w:pPr>
      <w:rPr>
        <w:rFonts w:hint="default"/>
      </w:rPr>
    </w:lvl>
    <w:lvl w:ilvl="7" w:tplc="6AF4B4C4">
      <w:numFmt w:val="bullet"/>
      <w:lvlText w:val="•"/>
      <w:lvlJc w:val="left"/>
      <w:pPr>
        <w:ind w:left="4153" w:hanging="172"/>
      </w:pPr>
      <w:rPr>
        <w:rFonts w:hint="default"/>
      </w:rPr>
    </w:lvl>
    <w:lvl w:ilvl="8" w:tplc="593A7EBE">
      <w:numFmt w:val="bullet"/>
      <w:lvlText w:val="•"/>
      <w:lvlJc w:val="left"/>
      <w:pPr>
        <w:ind w:left="4655" w:hanging="172"/>
      </w:pPr>
      <w:rPr>
        <w:rFonts w:hint="default"/>
      </w:rPr>
    </w:lvl>
  </w:abstractNum>
  <w:abstractNum w:abstractNumId="2" w15:restartNumberingAfterBreak="0">
    <w:nsid w:val="24162B47"/>
    <w:multiLevelType w:val="hybridMultilevel"/>
    <w:tmpl w:val="1CA4363E"/>
    <w:lvl w:ilvl="0" w:tplc="796C8FA6">
      <w:numFmt w:val="bullet"/>
      <w:lvlText w:val=""/>
      <w:lvlJc w:val="left"/>
      <w:pPr>
        <w:ind w:left="280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6AE8B430">
      <w:numFmt w:val="bullet"/>
      <w:lvlText w:val="•"/>
      <w:lvlJc w:val="left"/>
      <w:pPr>
        <w:ind w:left="491" w:hanging="170"/>
      </w:pPr>
      <w:rPr>
        <w:rFonts w:hint="default"/>
      </w:rPr>
    </w:lvl>
    <w:lvl w:ilvl="2" w:tplc="1CEE1F8A">
      <w:numFmt w:val="bullet"/>
      <w:lvlText w:val="•"/>
      <w:lvlJc w:val="left"/>
      <w:pPr>
        <w:ind w:left="703" w:hanging="170"/>
      </w:pPr>
      <w:rPr>
        <w:rFonts w:hint="default"/>
      </w:rPr>
    </w:lvl>
    <w:lvl w:ilvl="3" w:tplc="58762E80">
      <w:numFmt w:val="bullet"/>
      <w:lvlText w:val="•"/>
      <w:lvlJc w:val="left"/>
      <w:pPr>
        <w:ind w:left="915" w:hanging="170"/>
      </w:pPr>
      <w:rPr>
        <w:rFonts w:hint="default"/>
      </w:rPr>
    </w:lvl>
    <w:lvl w:ilvl="4" w:tplc="6032F8C4">
      <w:numFmt w:val="bullet"/>
      <w:lvlText w:val="•"/>
      <w:lvlJc w:val="left"/>
      <w:pPr>
        <w:ind w:left="1127" w:hanging="170"/>
      </w:pPr>
      <w:rPr>
        <w:rFonts w:hint="default"/>
      </w:rPr>
    </w:lvl>
    <w:lvl w:ilvl="5" w:tplc="250A3746">
      <w:numFmt w:val="bullet"/>
      <w:lvlText w:val="•"/>
      <w:lvlJc w:val="left"/>
      <w:pPr>
        <w:ind w:left="1339" w:hanging="170"/>
      </w:pPr>
      <w:rPr>
        <w:rFonts w:hint="default"/>
      </w:rPr>
    </w:lvl>
    <w:lvl w:ilvl="6" w:tplc="E8FEF722">
      <w:numFmt w:val="bullet"/>
      <w:lvlText w:val="•"/>
      <w:lvlJc w:val="left"/>
      <w:pPr>
        <w:ind w:left="1551" w:hanging="170"/>
      </w:pPr>
      <w:rPr>
        <w:rFonts w:hint="default"/>
      </w:rPr>
    </w:lvl>
    <w:lvl w:ilvl="7" w:tplc="69FA373A">
      <w:numFmt w:val="bullet"/>
      <w:lvlText w:val="•"/>
      <w:lvlJc w:val="left"/>
      <w:pPr>
        <w:ind w:left="1763" w:hanging="170"/>
      </w:pPr>
      <w:rPr>
        <w:rFonts w:hint="default"/>
      </w:rPr>
    </w:lvl>
    <w:lvl w:ilvl="8" w:tplc="28246122">
      <w:numFmt w:val="bullet"/>
      <w:lvlText w:val="•"/>
      <w:lvlJc w:val="left"/>
      <w:pPr>
        <w:ind w:left="1975" w:hanging="170"/>
      </w:pPr>
      <w:rPr>
        <w:rFonts w:hint="default"/>
      </w:rPr>
    </w:lvl>
  </w:abstractNum>
  <w:abstractNum w:abstractNumId="3" w15:restartNumberingAfterBreak="0">
    <w:nsid w:val="24A87F0A"/>
    <w:multiLevelType w:val="hybridMultilevel"/>
    <w:tmpl w:val="03BA488A"/>
    <w:lvl w:ilvl="0" w:tplc="4C9202F2">
      <w:numFmt w:val="bullet"/>
      <w:lvlText w:val=""/>
      <w:lvlJc w:val="left"/>
      <w:pPr>
        <w:ind w:left="633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762B292">
      <w:numFmt w:val="bullet"/>
      <w:lvlText w:val="•"/>
      <w:lvlJc w:val="left"/>
      <w:pPr>
        <w:ind w:left="1099" w:hanging="172"/>
      </w:pPr>
      <w:rPr>
        <w:rFonts w:hint="default"/>
      </w:rPr>
    </w:lvl>
    <w:lvl w:ilvl="2" w:tplc="06F8C2A6">
      <w:numFmt w:val="bullet"/>
      <w:lvlText w:val="•"/>
      <w:lvlJc w:val="left"/>
      <w:pPr>
        <w:ind w:left="1558" w:hanging="172"/>
      </w:pPr>
      <w:rPr>
        <w:rFonts w:hint="default"/>
      </w:rPr>
    </w:lvl>
    <w:lvl w:ilvl="3" w:tplc="074416BE">
      <w:numFmt w:val="bullet"/>
      <w:lvlText w:val="•"/>
      <w:lvlJc w:val="left"/>
      <w:pPr>
        <w:ind w:left="2017" w:hanging="172"/>
      </w:pPr>
      <w:rPr>
        <w:rFonts w:hint="default"/>
      </w:rPr>
    </w:lvl>
    <w:lvl w:ilvl="4" w:tplc="D2A6A484">
      <w:numFmt w:val="bullet"/>
      <w:lvlText w:val="•"/>
      <w:lvlJc w:val="left"/>
      <w:pPr>
        <w:ind w:left="2476" w:hanging="172"/>
      </w:pPr>
      <w:rPr>
        <w:rFonts w:hint="default"/>
      </w:rPr>
    </w:lvl>
    <w:lvl w:ilvl="5" w:tplc="D5302878">
      <w:numFmt w:val="bullet"/>
      <w:lvlText w:val="•"/>
      <w:lvlJc w:val="left"/>
      <w:pPr>
        <w:ind w:left="2935" w:hanging="172"/>
      </w:pPr>
      <w:rPr>
        <w:rFonts w:hint="default"/>
      </w:rPr>
    </w:lvl>
    <w:lvl w:ilvl="6" w:tplc="DE4A5FC6">
      <w:numFmt w:val="bullet"/>
      <w:lvlText w:val="•"/>
      <w:lvlJc w:val="left"/>
      <w:pPr>
        <w:ind w:left="3394" w:hanging="172"/>
      </w:pPr>
      <w:rPr>
        <w:rFonts w:hint="default"/>
      </w:rPr>
    </w:lvl>
    <w:lvl w:ilvl="7" w:tplc="A68027FE">
      <w:numFmt w:val="bullet"/>
      <w:lvlText w:val="•"/>
      <w:lvlJc w:val="left"/>
      <w:pPr>
        <w:ind w:left="3853" w:hanging="172"/>
      </w:pPr>
      <w:rPr>
        <w:rFonts w:hint="default"/>
      </w:rPr>
    </w:lvl>
    <w:lvl w:ilvl="8" w:tplc="C8284E2C">
      <w:numFmt w:val="bullet"/>
      <w:lvlText w:val="•"/>
      <w:lvlJc w:val="left"/>
      <w:pPr>
        <w:ind w:left="4312" w:hanging="172"/>
      </w:pPr>
      <w:rPr>
        <w:rFonts w:hint="default"/>
      </w:rPr>
    </w:lvl>
  </w:abstractNum>
  <w:abstractNum w:abstractNumId="4" w15:restartNumberingAfterBreak="0">
    <w:nsid w:val="27982F78"/>
    <w:multiLevelType w:val="hybridMultilevel"/>
    <w:tmpl w:val="B610F76C"/>
    <w:lvl w:ilvl="0" w:tplc="9AB82268">
      <w:numFmt w:val="bullet"/>
      <w:lvlText w:val=""/>
      <w:lvlJc w:val="left"/>
      <w:pPr>
        <w:ind w:left="826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47EED138">
      <w:numFmt w:val="bullet"/>
      <w:lvlText w:val="•"/>
      <w:lvlJc w:val="left"/>
      <w:pPr>
        <w:ind w:left="1261" w:hanging="172"/>
      </w:pPr>
      <w:rPr>
        <w:rFonts w:hint="default"/>
      </w:rPr>
    </w:lvl>
    <w:lvl w:ilvl="2" w:tplc="FAC03EBE">
      <w:numFmt w:val="bullet"/>
      <w:lvlText w:val="•"/>
      <w:lvlJc w:val="left"/>
      <w:pPr>
        <w:ind w:left="1702" w:hanging="172"/>
      </w:pPr>
      <w:rPr>
        <w:rFonts w:hint="default"/>
      </w:rPr>
    </w:lvl>
    <w:lvl w:ilvl="3" w:tplc="5A363152">
      <w:numFmt w:val="bullet"/>
      <w:lvlText w:val="•"/>
      <w:lvlJc w:val="left"/>
      <w:pPr>
        <w:ind w:left="2143" w:hanging="172"/>
      </w:pPr>
      <w:rPr>
        <w:rFonts w:hint="default"/>
      </w:rPr>
    </w:lvl>
    <w:lvl w:ilvl="4" w:tplc="5C06B2B6">
      <w:numFmt w:val="bullet"/>
      <w:lvlText w:val="•"/>
      <w:lvlJc w:val="left"/>
      <w:pPr>
        <w:ind w:left="2584" w:hanging="172"/>
      </w:pPr>
      <w:rPr>
        <w:rFonts w:hint="default"/>
      </w:rPr>
    </w:lvl>
    <w:lvl w:ilvl="5" w:tplc="7EDAFCB4">
      <w:numFmt w:val="bullet"/>
      <w:lvlText w:val="•"/>
      <w:lvlJc w:val="left"/>
      <w:pPr>
        <w:ind w:left="3026" w:hanging="172"/>
      </w:pPr>
      <w:rPr>
        <w:rFonts w:hint="default"/>
      </w:rPr>
    </w:lvl>
    <w:lvl w:ilvl="6" w:tplc="43A227EA">
      <w:numFmt w:val="bullet"/>
      <w:lvlText w:val="•"/>
      <w:lvlJc w:val="left"/>
      <w:pPr>
        <w:ind w:left="3467" w:hanging="172"/>
      </w:pPr>
      <w:rPr>
        <w:rFonts w:hint="default"/>
      </w:rPr>
    </w:lvl>
    <w:lvl w:ilvl="7" w:tplc="ADF28C2C">
      <w:numFmt w:val="bullet"/>
      <w:lvlText w:val="•"/>
      <w:lvlJc w:val="left"/>
      <w:pPr>
        <w:ind w:left="3908" w:hanging="172"/>
      </w:pPr>
      <w:rPr>
        <w:rFonts w:hint="default"/>
      </w:rPr>
    </w:lvl>
    <w:lvl w:ilvl="8" w:tplc="0E1EEFE2">
      <w:numFmt w:val="bullet"/>
      <w:lvlText w:val="•"/>
      <w:lvlJc w:val="left"/>
      <w:pPr>
        <w:ind w:left="4349" w:hanging="172"/>
      </w:pPr>
      <w:rPr>
        <w:rFonts w:hint="default"/>
      </w:rPr>
    </w:lvl>
  </w:abstractNum>
  <w:abstractNum w:abstractNumId="5" w15:restartNumberingAfterBreak="0">
    <w:nsid w:val="42D6576A"/>
    <w:multiLevelType w:val="hybridMultilevel"/>
    <w:tmpl w:val="8422AE5C"/>
    <w:lvl w:ilvl="0" w:tplc="82F0CAF0"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011AA722">
      <w:numFmt w:val="bullet"/>
      <w:lvlText w:val="•"/>
      <w:lvlJc w:val="left"/>
      <w:pPr>
        <w:ind w:left="1219" w:hanging="361"/>
      </w:pPr>
      <w:rPr>
        <w:rFonts w:hint="default"/>
      </w:rPr>
    </w:lvl>
    <w:lvl w:ilvl="2" w:tplc="4752A146">
      <w:numFmt w:val="bullet"/>
      <w:lvlText w:val="•"/>
      <w:lvlJc w:val="left"/>
      <w:pPr>
        <w:ind w:left="1618" w:hanging="361"/>
      </w:pPr>
      <w:rPr>
        <w:rFonts w:hint="default"/>
      </w:rPr>
    </w:lvl>
    <w:lvl w:ilvl="3" w:tplc="8E0CF2E6">
      <w:numFmt w:val="bullet"/>
      <w:lvlText w:val="•"/>
      <w:lvlJc w:val="left"/>
      <w:pPr>
        <w:ind w:left="2018" w:hanging="361"/>
      </w:pPr>
      <w:rPr>
        <w:rFonts w:hint="default"/>
      </w:rPr>
    </w:lvl>
    <w:lvl w:ilvl="4" w:tplc="E7648C76">
      <w:numFmt w:val="bullet"/>
      <w:lvlText w:val="•"/>
      <w:lvlJc w:val="left"/>
      <w:pPr>
        <w:ind w:left="2417" w:hanging="361"/>
      </w:pPr>
      <w:rPr>
        <w:rFonts w:hint="default"/>
      </w:rPr>
    </w:lvl>
    <w:lvl w:ilvl="5" w:tplc="0C4C21AE">
      <w:numFmt w:val="bullet"/>
      <w:lvlText w:val="•"/>
      <w:lvlJc w:val="left"/>
      <w:pPr>
        <w:ind w:left="2817" w:hanging="361"/>
      </w:pPr>
      <w:rPr>
        <w:rFonts w:hint="default"/>
      </w:rPr>
    </w:lvl>
    <w:lvl w:ilvl="6" w:tplc="72909B44">
      <w:numFmt w:val="bullet"/>
      <w:lvlText w:val="•"/>
      <w:lvlJc w:val="left"/>
      <w:pPr>
        <w:ind w:left="3216" w:hanging="361"/>
      </w:pPr>
      <w:rPr>
        <w:rFonts w:hint="default"/>
      </w:rPr>
    </w:lvl>
    <w:lvl w:ilvl="7" w:tplc="036A5702">
      <w:numFmt w:val="bullet"/>
      <w:lvlText w:val="•"/>
      <w:lvlJc w:val="left"/>
      <w:pPr>
        <w:ind w:left="3615" w:hanging="361"/>
      </w:pPr>
      <w:rPr>
        <w:rFonts w:hint="default"/>
      </w:rPr>
    </w:lvl>
    <w:lvl w:ilvl="8" w:tplc="790C1D2A">
      <w:numFmt w:val="bullet"/>
      <w:lvlText w:val="•"/>
      <w:lvlJc w:val="left"/>
      <w:pPr>
        <w:ind w:left="4015" w:hanging="361"/>
      </w:pPr>
      <w:rPr>
        <w:rFonts w:hint="default"/>
      </w:rPr>
    </w:lvl>
  </w:abstractNum>
  <w:abstractNum w:abstractNumId="6" w15:restartNumberingAfterBreak="0">
    <w:nsid w:val="562B0A87"/>
    <w:multiLevelType w:val="hybridMultilevel"/>
    <w:tmpl w:val="03D43E46"/>
    <w:lvl w:ilvl="0" w:tplc="53CAD7EC">
      <w:numFmt w:val="bullet"/>
      <w:lvlText w:val=""/>
      <w:lvlJc w:val="left"/>
      <w:pPr>
        <w:ind w:left="841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FFCA86B8">
      <w:numFmt w:val="bullet"/>
      <w:lvlText w:val="•"/>
      <w:lvlJc w:val="left"/>
      <w:pPr>
        <w:ind w:left="1364" w:hanging="171"/>
      </w:pPr>
      <w:rPr>
        <w:rFonts w:hint="default"/>
      </w:rPr>
    </w:lvl>
    <w:lvl w:ilvl="2" w:tplc="C406CED4">
      <w:numFmt w:val="bullet"/>
      <w:lvlText w:val="•"/>
      <w:lvlJc w:val="left"/>
      <w:pPr>
        <w:ind w:left="1888" w:hanging="171"/>
      </w:pPr>
      <w:rPr>
        <w:rFonts w:hint="default"/>
      </w:rPr>
    </w:lvl>
    <w:lvl w:ilvl="3" w:tplc="4B94BAB6">
      <w:numFmt w:val="bullet"/>
      <w:lvlText w:val="•"/>
      <w:lvlJc w:val="left"/>
      <w:pPr>
        <w:ind w:left="2412" w:hanging="171"/>
      </w:pPr>
      <w:rPr>
        <w:rFonts w:hint="default"/>
      </w:rPr>
    </w:lvl>
    <w:lvl w:ilvl="4" w:tplc="75C4834C">
      <w:numFmt w:val="bullet"/>
      <w:lvlText w:val="•"/>
      <w:lvlJc w:val="left"/>
      <w:pPr>
        <w:ind w:left="2936" w:hanging="171"/>
      </w:pPr>
      <w:rPr>
        <w:rFonts w:hint="default"/>
      </w:rPr>
    </w:lvl>
    <w:lvl w:ilvl="5" w:tplc="6F8CA786">
      <w:numFmt w:val="bullet"/>
      <w:lvlText w:val="•"/>
      <w:lvlJc w:val="left"/>
      <w:pPr>
        <w:ind w:left="3461" w:hanging="171"/>
      </w:pPr>
      <w:rPr>
        <w:rFonts w:hint="default"/>
      </w:rPr>
    </w:lvl>
    <w:lvl w:ilvl="6" w:tplc="5FD60DB2">
      <w:numFmt w:val="bullet"/>
      <w:lvlText w:val="•"/>
      <w:lvlJc w:val="left"/>
      <w:pPr>
        <w:ind w:left="3985" w:hanging="171"/>
      </w:pPr>
      <w:rPr>
        <w:rFonts w:hint="default"/>
      </w:rPr>
    </w:lvl>
    <w:lvl w:ilvl="7" w:tplc="ACD61178">
      <w:numFmt w:val="bullet"/>
      <w:lvlText w:val="•"/>
      <w:lvlJc w:val="left"/>
      <w:pPr>
        <w:ind w:left="4509" w:hanging="171"/>
      </w:pPr>
      <w:rPr>
        <w:rFonts w:hint="default"/>
      </w:rPr>
    </w:lvl>
    <w:lvl w:ilvl="8" w:tplc="9D5A35B0">
      <w:numFmt w:val="bullet"/>
      <w:lvlText w:val="•"/>
      <w:lvlJc w:val="left"/>
      <w:pPr>
        <w:ind w:left="5033" w:hanging="171"/>
      </w:pPr>
      <w:rPr>
        <w:rFonts w:hint="default"/>
      </w:rPr>
    </w:lvl>
  </w:abstractNum>
  <w:abstractNum w:abstractNumId="7" w15:restartNumberingAfterBreak="0">
    <w:nsid w:val="5BFA4609"/>
    <w:multiLevelType w:val="hybridMultilevel"/>
    <w:tmpl w:val="01BE286C"/>
    <w:lvl w:ilvl="0" w:tplc="2DEC1B3E">
      <w:numFmt w:val="bullet"/>
      <w:lvlText w:val=""/>
      <w:lvlJc w:val="left"/>
      <w:pPr>
        <w:ind w:left="842" w:hanging="171"/>
      </w:pPr>
      <w:rPr>
        <w:rFonts w:hint="default" w:ascii="Symbol" w:hAnsi="Symbol" w:eastAsia="Symbol" w:cs="Symbol"/>
        <w:w w:val="100"/>
        <w:sz w:val="22"/>
        <w:szCs w:val="22"/>
      </w:rPr>
    </w:lvl>
    <w:lvl w:ilvl="1" w:tplc="710AE9F8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587C17CA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2312C2AC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EB024BC2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C6B0CAD6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178CC95C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7BD879C4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C528207E">
      <w:numFmt w:val="bullet"/>
      <w:lvlText w:val="•"/>
      <w:lvlJc w:val="left"/>
      <w:pPr>
        <w:ind w:left="4126" w:hanging="171"/>
      </w:pPr>
      <w:rPr>
        <w:rFonts w:hint="default"/>
      </w:rPr>
    </w:lvl>
  </w:abstractNum>
  <w:abstractNum w:abstractNumId="8" w15:restartNumberingAfterBreak="0">
    <w:nsid w:val="604A36CC"/>
    <w:multiLevelType w:val="hybridMultilevel"/>
    <w:tmpl w:val="C352A432"/>
    <w:lvl w:ilvl="0" w:tplc="8C9A5DD0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6F431C4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BD04EE66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62E0A32A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05A04A92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323C9268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01D23842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C6E856BC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CBFC0FC8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9" w15:restartNumberingAfterBreak="0">
    <w:nsid w:val="680273F6"/>
    <w:multiLevelType w:val="hybridMultilevel"/>
    <w:tmpl w:val="0AF49F68"/>
    <w:lvl w:ilvl="0" w:tplc="CAEC66D6">
      <w:numFmt w:val="bullet"/>
      <w:lvlText w:val=""/>
      <w:lvlJc w:val="left"/>
      <w:pPr>
        <w:ind w:left="500" w:hanging="286"/>
      </w:pPr>
      <w:rPr>
        <w:rFonts w:hint="default" w:ascii="Symbol" w:hAnsi="Symbol" w:eastAsia="Symbol" w:cs="Symbol"/>
        <w:w w:val="101"/>
        <w:sz w:val="18"/>
        <w:szCs w:val="18"/>
      </w:rPr>
    </w:lvl>
    <w:lvl w:ilvl="1" w:tplc="76341F54">
      <w:numFmt w:val="bullet"/>
      <w:lvlText w:val="•"/>
      <w:lvlJc w:val="left"/>
      <w:pPr>
        <w:ind w:left="959" w:hanging="286"/>
      </w:pPr>
      <w:rPr>
        <w:rFonts w:hint="default"/>
      </w:rPr>
    </w:lvl>
    <w:lvl w:ilvl="2" w:tplc="3384BD58">
      <w:numFmt w:val="bullet"/>
      <w:lvlText w:val="•"/>
      <w:lvlJc w:val="left"/>
      <w:pPr>
        <w:ind w:left="1418" w:hanging="286"/>
      </w:pPr>
      <w:rPr>
        <w:rFonts w:hint="default"/>
      </w:rPr>
    </w:lvl>
    <w:lvl w:ilvl="3" w:tplc="83E8FFB6">
      <w:numFmt w:val="bullet"/>
      <w:lvlText w:val="•"/>
      <w:lvlJc w:val="left"/>
      <w:pPr>
        <w:ind w:left="1877" w:hanging="286"/>
      </w:pPr>
      <w:rPr>
        <w:rFonts w:hint="default"/>
      </w:rPr>
    </w:lvl>
    <w:lvl w:ilvl="4" w:tplc="A528798E">
      <w:numFmt w:val="bullet"/>
      <w:lvlText w:val="•"/>
      <w:lvlJc w:val="left"/>
      <w:pPr>
        <w:ind w:left="2336" w:hanging="286"/>
      </w:pPr>
      <w:rPr>
        <w:rFonts w:hint="default"/>
      </w:rPr>
    </w:lvl>
    <w:lvl w:ilvl="5" w:tplc="B6B82F1C">
      <w:numFmt w:val="bullet"/>
      <w:lvlText w:val="•"/>
      <w:lvlJc w:val="left"/>
      <w:pPr>
        <w:ind w:left="2796" w:hanging="286"/>
      </w:pPr>
      <w:rPr>
        <w:rFonts w:hint="default"/>
      </w:rPr>
    </w:lvl>
    <w:lvl w:ilvl="6" w:tplc="D348E98E">
      <w:numFmt w:val="bullet"/>
      <w:lvlText w:val="•"/>
      <w:lvlJc w:val="left"/>
      <w:pPr>
        <w:ind w:left="3255" w:hanging="286"/>
      </w:pPr>
      <w:rPr>
        <w:rFonts w:hint="default"/>
      </w:rPr>
    </w:lvl>
    <w:lvl w:ilvl="7" w:tplc="A1F82654">
      <w:numFmt w:val="bullet"/>
      <w:lvlText w:val="•"/>
      <w:lvlJc w:val="left"/>
      <w:pPr>
        <w:ind w:left="3714" w:hanging="286"/>
      </w:pPr>
      <w:rPr>
        <w:rFonts w:hint="default"/>
      </w:rPr>
    </w:lvl>
    <w:lvl w:ilvl="8" w:tplc="CE98187A">
      <w:numFmt w:val="bullet"/>
      <w:lvlText w:val="•"/>
      <w:lvlJc w:val="left"/>
      <w:pPr>
        <w:ind w:left="4173" w:hanging="286"/>
      </w:pPr>
      <w:rPr>
        <w:rFonts w:hint="default"/>
      </w:rPr>
    </w:lvl>
  </w:abstractNum>
  <w:abstractNum w:abstractNumId="10" w15:restartNumberingAfterBreak="0">
    <w:nsid w:val="754F33E2"/>
    <w:multiLevelType w:val="hybridMultilevel"/>
    <w:tmpl w:val="20EC3E14"/>
    <w:lvl w:ilvl="0" w:tplc="D65E4B80">
      <w:numFmt w:val="bullet"/>
      <w:lvlText w:val=""/>
      <w:lvlJc w:val="left"/>
      <w:pPr>
        <w:ind w:left="843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E5347EA4">
      <w:numFmt w:val="bullet"/>
      <w:lvlText w:val="•"/>
      <w:lvlJc w:val="left"/>
      <w:pPr>
        <w:ind w:left="1307" w:hanging="171"/>
      </w:pPr>
      <w:rPr>
        <w:rFonts w:hint="default"/>
      </w:rPr>
    </w:lvl>
    <w:lvl w:ilvl="2" w:tplc="EC2E69EA">
      <w:numFmt w:val="bullet"/>
      <w:lvlText w:val="•"/>
      <w:lvlJc w:val="left"/>
      <w:pPr>
        <w:ind w:left="1775" w:hanging="171"/>
      </w:pPr>
      <w:rPr>
        <w:rFonts w:hint="default"/>
      </w:rPr>
    </w:lvl>
    <w:lvl w:ilvl="3" w:tplc="93EEC086">
      <w:numFmt w:val="bullet"/>
      <w:lvlText w:val="•"/>
      <w:lvlJc w:val="left"/>
      <w:pPr>
        <w:ind w:left="2243" w:hanging="171"/>
      </w:pPr>
      <w:rPr>
        <w:rFonts w:hint="default"/>
      </w:rPr>
    </w:lvl>
    <w:lvl w:ilvl="4" w:tplc="57023F66">
      <w:numFmt w:val="bullet"/>
      <w:lvlText w:val="•"/>
      <w:lvlJc w:val="left"/>
      <w:pPr>
        <w:ind w:left="2711" w:hanging="171"/>
      </w:pPr>
      <w:rPr>
        <w:rFonts w:hint="default"/>
      </w:rPr>
    </w:lvl>
    <w:lvl w:ilvl="5" w:tplc="8DFC77B0">
      <w:numFmt w:val="bullet"/>
      <w:lvlText w:val="•"/>
      <w:lvlJc w:val="left"/>
      <w:pPr>
        <w:ind w:left="3179" w:hanging="171"/>
      </w:pPr>
      <w:rPr>
        <w:rFonts w:hint="default"/>
      </w:rPr>
    </w:lvl>
    <w:lvl w:ilvl="6" w:tplc="2F18084A">
      <w:numFmt w:val="bullet"/>
      <w:lvlText w:val="•"/>
      <w:lvlJc w:val="left"/>
      <w:pPr>
        <w:ind w:left="3647" w:hanging="171"/>
      </w:pPr>
      <w:rPr>
        <w:rFonts w:hint="default"/>
      </w:rPr>
    </w:lvl>
    <w:lvl w:ilvl="7" w:tplc="4762EC00"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436A9DF6">
      <w:numFmt w:val="bullet"/>
      <w:lvlText w:val="•"/>
      <w:lvlJc w:val="left"/>
      <w:pPr>
        <w:ind w:left="4583" w:hanging="171"/>
      </w:pPr>
      <w:rPr>
        <w:rFonts w:hint="default"/>
      </w:rPr>
    </w:lvl>
  </w:abstractNum>
  <w:abstractNum w:abstractNumId="11" w15:restartNumberingAfterBreak="0">
    <w:nsid w:val="77217A97"/>
    <w:multiLevelType w:val="hybridMultilevel"/>
    <w:tmpl w:val="86D4D72C"/>
    <w:lvl w:ilvl="0" w:tplc="2D9C2F5E">
      <w:numFmt w:val="bullet"/>
      <w:lvlText w:val=""/>
      <w:lvlJc w:val="left"/>
      <w:pPr>
        <w:ind w:left="636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8D80E80C">
      <w:numFmt w:val="bullet"/>
      <w:lvlText w:val="•"/>
      <w:lvlJc w:val="left"/>
      <w:pPr>
        <w:ind w:left="1156" w:hanging="172"/>
      </w:pPr>
      <w:rPr>
        <w:rFonts w:hint="default"/>
      </w:rPr>
    </w:lvl>
    <w:lvl w:ilvl="2" w:tplc="CAA24FBC">
      <w:numFmt w:val="bullet"/>
      <w:lvlText w:val="•"/>
      <w:lvlJc w:val="left"/>
      <w:pPr>
        <w:ind w:left="1672" w:hanging="172"/>
      </w:pPr>
      <w:rPr>
        <w:rFonts w:hint="default"/>
      </w:rPr>
    </w:lvl>
    <w:lvl w:ilvl="3" w:tplc="50962552">
      <w:numFmt w:val="bullet"/>
      <w:lvlText w:val="•"/>
      <w:lvlJc w:val="left"/>
      <w:pPr>
        <w:ind w:left="2188" w:hanging="172"/>
      </w:pPr>
      <w:rPr>
        <w:rFonts w:hint="default"/>
      </w:rPr>
    </w:lvl>
    <w:lvl w:ilvl="4" w:tplc="0A502470">
      <w:numFmt w:val="bullet"/>
      <w:lvlText w:val="•"/>
      <w:lvlJc w:val="left"/>
      <w:pPr>
        <w:ind w:left="2705" w:hanging="172"/>
      </w:pPr>
      <w:rPr>
        <w:rFonts w:hint="default"/>
      </w:rPr>
    </w:lvl>
    <w:lvl w:ilvl="5" w:tplc="2B048CBA">
      <w:numFmt w:val="bullet"/>
      <w:lvlText w:val="•"/>
      <w:lvlJc w:val="left"/>
      <w:pPr>
        <w:ind w:left="3221" w:hanging="172"/>
      </w:pPr>
      <w:rPr>
        <w:rFonts w:hint="default"/>
      </w:rPr>
    </w:lvl>
    <w:lvl w:ilvl="6" w:tplc="5162729A">
      <w:numFmt w:val="bullet"/>
      <w:lvlText w:val="•"/>
      <w:lvlJc w:val="left"/>
      <w:pPr>
        <w:ind w:left="3737" w:hanging="172"/>
      </w:pPr>
      <w:rPr>
        <w:rFonts w:hint="default"/>
      </w:rPr>
    </w:lvl>
    <w:lvl w:ilvl="7" w:tplc="088EB052">
      <w:numFmt w:val="bullet"/>
      <w:lvlText w:val="•"/>
      <w:lvlJc w:val="left"/>
      <w:pPr>
        <w:ind w:left="4254" w:hanging="172"/>
      </w:pPr>
      <w:rPr>
        <w:rFonts w:hint="default"/>
      </w:rPr>
    </w:lvl>
    <w:lvl w:ilvl="8" w:tplc="BA1E8148">
      <w:numFmt w:val="bullet"/>
      <w:lvlText w:val="•"/>
      <w:lvlJc w:val="left"/>
      <w:pPr>
        <w:ind w:left="4770" w:hanging="172"/>
      </w:pPr>
      <w:rPr>
        <w:rFonts w:hint="default"/>
      </w:rPr>
    </w:lvl>
  </w:abstractNum>
  <w:abstractNum w:abstractNumId="12" w15:restartNumberingAfterBreak="0">
    <w:nsid w:val="7A6A0C80"/>
    <w:multiLevelType w:val="hybridMultilevel"/>
    <w:tmpl w:val="69DA5652"/>
    <w:lvl w:ilvl="0" w:tplc="FAE23298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3E40AEA0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A0C8A478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1A12699C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0A888314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3B881CB2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55D41A74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21CE4ACA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BBFEABD0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13" w15:restartNumberingAfterBreak="0">
    <w:nsid w:val="7C9B2095"/>
    <w:multiLevelType w:val="hybridMultilevel"/>
    <w:tmpl w:val="5748E5E8"/>
    <w:lvl w:ilvl="0" w:tplc="918AE220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8952B382">
      <w:numFmt w:val="bullet"/>
      <w:lvlText w:val="•"/>
      <w:lvlJc w:val="left"/>
      <w:pPr>
        <w:ind w:left="1085" w:hanging="172"/>
      </w:pPr>
      <w:rPr>
        <w:rFonts w:hint="default"/>
      </w:rPr>
    </w:lvl>
    <w:lvl w:ilvl="2" w:tplc="F0E04220">
      <w:numFmt w:val="bullet"/>
      <w:lvlText w:val="•"/>
      <w:lvlJc w:val="left"/>
      <w:pPr>
        <w:ind w:left="1530" w:hanging="172"/>
      </w:pPr>
      <w:rPr>
        <w:rFonts w:hint="default"/>
      </w:rPr>
    </w:lvl>
    <w:lvl w:ilvl="3" w:tplc="39700762">
      <w:numFmt w:val="bullet"/>
      <w:lvlText w:val="•"/>
      <w:lvlJc w:val="left"/>
      <w:pPr>
        <w:ind w:left="1975" w:hanging="172"/>
      </w:pPr>
      <w:rPr>
        <w:rFonts w:hint="default"/>
      </w:rPr>
    </w:lvl>
    <w:lvl w:ilvl="4" w:tplc="8B326C30">
      <w:numFmt w:val="bullet"/>
      <w:lvlText w:val="•"/>
      <w:lvlJc w:val="left"/>
      <w:pPr>
        <w:ind w:left="2421" w:hanging="172"/>
      </w:pPr>
      <w:rPr>
        <w:rFonts w:hint="default"/>
      </w:rPr>
    </w:lvl>
    <w:lvl w:ilvl="5" w:tplc="C8887D2A">
      <w:numFmt w:val="bullet"/>
      <w:lvlText w:val="•"/>
      <w:lvlJc w:val="left"/>
      <w:pPr>
        <w:ind w:left="2866" w:hanging="172"/>
      </w:pPr>
      <w:rPr>
        <w:rFonts w:hint="default"/>
      </w:rPr>
    </w:lvl>
    <w:lvl w:ilvl="6" w:tplc="54D61B70">
      <w:numFmt w:val="bullet"/>
      <w:lvlText w:val="•"/>
      <w:lvlJc w:val="left"/>
      <w:pPr>
        <w:ind w:left="3311" w:hanging="172"/>
      </w:pPr>
      <w:rPr>
        <w:rFonts w:hint="default"/>
      </w:rPr>
    </w:lvl>
    <w:lvl w:ilvl="7" w:tplc="05F6E710">
      <w:numFmt w:val="bullet"/>
      <w:lvlText w:val="•"/>
      <w:lvlJc w:val="left"/>
      <w:pPr>
        <w:ind w:left="3757" w:hanging="172"/>
      </w:pPr>
      <w:rPr>
        <w:rFonts w:hint="default"/>
      </w:rPr>
    </w:lvl>
    <w:lvl w:ilvl="8" w:tplc="18885D72">
      <w:numFmt w:val="bullet"/>
      <w:lvlText w:val="•"/>
      <w:lvlJc w:val="left"/>
      <w:pPr>
        <w:ind w:left="4202" w:hanging="172"/>
      </w:pPr>
      <w:rPr>
        <w:rFonts w:hint="default"/>
      </w:rPr>
    </w:lvl>
  </w:abstractNum>
  <w:abstractNum w:abstractNumId="14" w15:restartNumberingAfterBreak="0">
    <w:nsid w:val="7E4F75BA"/>
    <w:multiLevelType w:val="hybridMultilevel"/>
    <w:tmpl w:val="80B03CC4"/>
    <w:lvl w:ilvl="0" w:tplc="9F2867D6">
      <w:numFmt w:val="bullet"/>
      <w:lvlText w:val=""/>
      <w:lvlJc w:val="left"/>
      <w:pPr>
        <w:ind w:left="842" w:hanging="171"/>
      </w:pPr>
      <w:rPr>
        <w:rFonts w:hint="default" w:ascii="Symbol" w:hAnsi="Symbol" w:eastAsia="Symbol" w:cs="Symbol"/>
        <w:w w:val="100"/>
        <w:sz w:val="22"/>
        <w:szCs w:val="22"/>
      </w:rPr>
    </w:lvl>
    <w:lvl w:ilvl="1" w:tplc="003C7730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DD2EED96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32FE9BB2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7D64C322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6F1A90E6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71483840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3B9ADC56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69C8B626">
      <w:numFmt w:val="bullet"/>
      <w:lvlText w:val="•"/>
      <w:lvlJc w:val="left"/>
      <w:pPr>
        <w:ind w:left="4126" w:hanging="171"/>
      </w:pPr>
      <w:rPr>
        <w:rFonts w:hint="default"/>
      </w:rPr>
    </w:lvl>
  </w:abstractNum>
  <w:num w:numId="1" w16cid:durableId="2011713567">
    <w:abstractNumId w:val="13"/>
  </w:num>
  <w:num w:numId="2" w16cid:durableId="1002586172">
    <w:abstractNumId w:val="0"/>
  </w:num>
  <w:num w:numId="3" w16cid:durableId="182790055">
    <w:abstractNumId w:val="9"/>
  </w:num>
  <w:num w:numId="4" w16cid:durableId="1725518997">
    <w:abstractNumId w:val="1"/>
  </w:num>
  <w:num w:numId="5" w16cid:durableId="1312366877">
    <w:abstractNumId w:val="6"/>
  </w:num>
  <w:num w:numId="6" w16cid:durableId="358507400">
    <w:abstractNumId w:val="12"/>
  </w:num>
  <w:num w:numId="7" w16cid:durableId="1933586723">
    <w:abstractNumId w:val="8"/>
  </w:num>
  <w:num w:numId="8" w16cid:durableId="672227545">
    <w:abstractNumId w:val="10"/>
  </w:num>
  <w:num w:numId="9" w16cid:durableId="1238637380">
    <w:abstractNumId w:val="4"/>
  </w:num>
  <w:num w:numId="10" w16cid:durableId="1846167744">
    <w:abstractNumId w:val="2"/>
  </w:num>
  <w:num w:numId="11" w16cid:durableId="996571504">
    <w:abstractNumId w:val="7"/>
  </w:num>
  <w:num w:numId="12" w16cid:durableId="361833347">
    <w:abstractNumId w:val="14"/>
  </w:num>
  <w:num w:numId="13" w16cid:durableId="356081267">
    <w:abstractNumId w:val="3"/>
  </w:num>
  <w:num w:numId="14" w16cid:durableId="2083873191">
    <w:abstractNumId w:val="11"/>
  </w:num>
  <w:num w:numId="15" w16cid:durableId="1315599073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revisionView w:formatting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56"/>
    <w:rsid w:val="000002DC"/>
    <w:rsid w:val="000154C1"/>
    <w:rsid w:val="000202C3"/>
    <w:rsid w:val="00040DFA"/>
    <w:rsid w:val="0004371D"/>
    <w:rsid w:val="0006129C"/>
    <w:rsid w:val="00066953"/>
    <w:rsid w:val="00070BED"/>
    <w:rsid w:val="00075215"/>
    <w:rsid w:val="000A1741"/>
    <w:rsid w:val="000C32A5"/>
    <w:rsid w:val="000E549A"/>
    <w:rsid w:val="00101513"/>
    <w:rsid w:val="00102FD8"/>
    <w:rsid w:val="00105D1B"/>
    <w:rsid w:val="00113E83"/>
    <w:rsid w:val="00134483"/>
    <w:rsid w:val="00135436"/>
    <w:rsid w:val="00135F91"/>
    <w:rsid w:val="00164E5C"/>
    <w:rsid w:val="00166AF4"/>
    <w:rsid w:val="00196255"/>
    <w:rsid w:val="001A54AE"/>
    <w:rsid w:val="001B1807"/>
    <w:rsid w:val="001B2C07"/>
    <w:rsid w:val="001B7F34"/>
    <w:rsid w:val="001C0F82"/>
    <w:rsid w:val="001D6863"/>
    <w:rsid w:val="00201801"/>
    <w:rsid w:val="00202A24"/>
    <w:rsid w:val="002047D6"/>
    <w:rsid w:val="002304F2"/>
    <w:rsid w:val="00237951"/>
    <w:rsid w:val="002649A8"/>
    <w:rsid w:val="00275461"/>
    <w:rsid w:val="00275699"/>
    <w:rsid w:val="00284F46"/>
    <w:rsid w:val="00292A69"/>
    <w:rsid w:val="002A5ADC"/>
    <w:rsid w:val="002C22BE"/>
    <w:rsid w:val="002D1B32"/>
    <w:rsid w:val="002D33D3"/>
    <w:rsid w:val="002E52A1"/>
    <w:rsid w:val="00300B4D"/>
    <w:rsid w:val="0030523E"/>
    <w:rsid w:val="0031206B"/>
    <w:rsid w:val="00320670"/>
    <w:rsid w:val="00335996"/>
    <w:rsid w:val="00372044"/>
    <w:rsid w:val="00383024"/>
    <w:rsid w:val="003B5F04"/>
    <w:rsid w:val="003B6F11"/>
    <w:rsid w:val="003C1295"/>
    <w:rsid w:val="003C63DA"/>
    <w:rsid w:val="003D2111"/>
    <w:rsid w:val="003E52F0"/>
    <w:rsid w:val="003F0E8C"/>
    <w:rsid w:val="00417C32"/>
    <w:rsid w:val="0044434C"/>
    <w:rsid w:val="00444C62"/>
    <w:rsid w:val="004550A3"/>
    <w:rsid w:val="00465189"/>
    <w:rsid w:val="00467C6F"/>
    <w:rsid w:val="00474A39"/>
    <w:rsid w:val="00483179"/>
    <w:rsid w:val="004B236B"/>
    <w:rsid w:val="004C0930"/>
    <w:rsid w:val="004C206F"/>
    <w:rsid w:val="004D0AC4"/>
    <w:rsid w:val="005300AE"/>
    <w:rsid w:val="00560117"/>
    <w:rsid w:val="00577694"/>
    <w:rsid w:val="005919EE"/>
    <w:rsid w:val="005A5551"/>
    <w:rsid w:val="005B659F"/>
    <w:rsid w:val="005D0056"/>
    <w:rsid w:val="005D3E0D"/>
    <w:rsid w:val="005E4B32"/>
    <w:rsid w:val="005F20F3"/>
    <w:rsid w:val="00613224"/>
    <w:rsid w:val="00613AF9"/>
    <w:rsid w:val="00633E56"/>
    <w:rsid w:val="006704E7"/>
    <w:rsid w:val="006810A8"/>
    <w:rsid w:val="00686530"/>
    <w:rsid w:val="00686B07"/>
    <w:rsid w:val="00691A56"/>
    <w:rsid w:val="006A7E3F"/>
    <w:rsid w:val="006D7C7D"/>
    <w:rsid w:val="006F38BF"/>
    <w:rsid w:val="006F7044"/>
    <w:rsid w:val="006F77B8"/>
    <w:rsid w:val="00700DD4"/>
    <w:rsid w:val="007117C9"/>
    <w:rsid w:val="00722E38"/>
    <w:rsid w:val="00733F4E"/>
    <w:rsid w:val="0074378F"/>
    <w:rsid w:val="007474D3"/>
    <w:rsid w:val="007550C3"/>
    <w:rsid w:val="007579BD"/>
    <w:rsid w:val="00764360"/>
    <w:rsid w:val="00765351"/>
    <w:rsid w:val="00777DED"/>
    <w:rsid w:val="00782291"/>
    <w:rsid w:val="007841BF"/>
    <w:rsid w:val="007B3D6D"/>
    <w:rsid w:val="007B6836"/>
    <w:rsid w:val="007C19AB"/>
    <w:rsid w:val="007F5F59"/>
    <w:rsid w:val="00800926"/>
    <w:rsid w:val="008049D7"/>
    <w:rsid w:val="00815B71"/>
    <w:rsid w:val="0083018A"/>
    <w:rsid w:val="00837F6E"/>
    <w:rsid w:val="00861DD0"/>
    <w:rsid w:val="00882044"/>
    <w:rsid w:val="0088797C"/>
    <w:rsid w:val="008A28F1"/>
    <w:rsid w:val="008A72E3"/>
    <w:rsid w:val="008B1F1E"/>
    <w:rsid w:val="008C056D"/>
    <w:rsid w:val="008C7D30"/>
    <w:rsid w:val="008F7414"/>
    <w:rsid w:val="008F74BD"/>
    <w:rsid w:val="009141AD"/>
    <w:rsid w:val="00920448"/>
    <w:rsid w:val="00921C57"/>
    <w:rsid w:val="00934889"/>
    <w:rsid w:val="00961B61"/>
    <w:rsid w:val="00981612"/>
    <w:rsid w:val="009A455F"/>
    <w:rsid w:val="009B47C6"/>
    <w:rsid w:val="009C5765"/>
    <w:rsid w:val="009E0829"/>
    <w:rsid w:val="009E7DBE"/>
    <w:rsid w:val="009F0EA5"/>
    <w:rsid w:val="009F17AA"/>
    <w:rsid w:val="009F26BB"/>
    <w:rsid w:val="009F2E96"/>
    <w:rsid w:val="00A023A8"/>
    <w:rsid w:val="00A20196"/>
    <w:rsid w:val="00A4105D"/>
    <w:rsid w:val="00A725A5"/>
    <w:rsid w:val="00A85790"/>
    <w:rsid w:val="00A94250"/>
    <w:rsid w:val="00A97E22"/>
    <w:rsid w:val="00AB0106"/>
    <w:rsid w:val="00AB5A81"/>
    <w:rsid w:val="00AD23D8"/>
    <w:rsid w:val="00B0135F"/>
    <w:rsid w:val="00B230DB"/>
    <w:rsid w:val="00B27DAB"/>
    <w:rsid w:val="00B341BB"/>
    <w:rsid w:val="00B37EDC"/>
    <w:rsid w:val="00B6564C"/>
    <w:rsid w:val="00B775F3"/>
    <w:rsid w:val="00C1466B"/>
    <w:rsid w:val="00C34440"/>
    <w:rsid w:val="00C350C8"/>
    <w:rsid w:val="00C44F96"/>
    <w:rsid w:val="00C643EE"/>
    <w:rsid w:val="00C66692"/>
    <w:rsid w:val="00C67320"/>
    <w:rsid w:val="00C7207C"/>
    <w:rsid w:val="00C913A7"/>
    <w:rsid w:val="00CA1D14"/>
    <w:rsid w:val="00CB161C"/>
    <w:rsid w:val="00CB439E"/>
    <w:rsid w:val="00CD7B9B"/>
    <w:rsid w:val="00CE7F20"/>
    <w:rsid w:val="00CF284A"/>
    <w:rsid w:val="00CF637D"/>
    <w:rsid w:val="00D335BC"/>
    <w:rsid w:val="00D418C7"/>
    <w:rsid w:val="00D566B8"/>
    <w:rsid w:val="00D732B2"/>
    <w:rsid w:val="00D86081"/>
    <w:rsid w:val="00D940EB"/>
    <w:rsid w:val="00DC3272"/>
    <w:rsid w:val="00DE0263"/>
    <w:rsid w:val="00DE66DB"/>
    <w:rsid w:val="00DE77D4"/>
    <w:rsid w:val="00E07506"/>
    <w:rsid w:val="00E142D1"/>
    <w:rsid w:val="00E2178F"/>
    <w:rsid w:val="00E37B0A"/>
    <w:rsid w:val="00E43031"/>
    <w:rsid w:val="00E437A9"/>
    <w:rsid w:val="00E608BF"/>
    <w:rsid w:val="00E76FDE"/>
    <w:rsid w:val="00E86B28"/>
    <w:rsid w:val="00E92FE4"/>
    <w:rsid w:val="00E96FC5"/>
    <w:rsid w:val="00EA6E57"/>
    <w:rsid w:val="00EB686A"/>
    <w:rsid w:val="00EC282A"/>
    <w:rsid w:val="00EC5F36"/>
    <w:rsid w:val="00ED5CE7"/>
    <w:rsid w:val="00EE6BD3"/>
    <w:rsid w:val="00EF2E8B"/>
    <w:rsid w:val="00EF4F31"/>
    <w:rsid w:val="00F0793D"/>
    <w:rsid w:val="00F2351F"/>
    <w:rsid w:val="00F26EFD"/>
    <w:rsid w:val="00F27DB6"/>
    <w:rsid w:val="00F32E12"/>
    <w:rsid w:val="00F375BD"/>
    <w:rsid w:val="00F45035"/>
    <w:rsid w:val="00F53C72"/>
    <w:rsid w:val="00F563CC"/>
    <w:rsid w:val="00F600E5"/>
    <w:rsid w:val="00F71153"/>
    <w:rsid w:val="00F71B6D"/>
    <w:rsid w:val="00F85AFC"/>
    <w:rsid w:val="00F97FBE"/>
    <w:rsid w:val="00FA6657"/>
    <w:rsid w:val="00FA7631"/>
    <w:rsid w:val="00FD1308"/>
    <w:rsid w:val="00FD327D"/>
    <w:rsid w:val="069F2419"/>
    <w:rsid w:val="497B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8576"/>
  <w15:docId w15:val="{966DF434-9730-4757-8E5C-1DD8CADD52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F563C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63CC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F563C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563CC"/>
    <w:rPr>
      <w:rFonts w:ascii="Arial" w:hAnsi="Arial" w:eastAsia="Arial" w:cs="Arial"/>
    </w:rPr>
  </w:style>
  <w:style w:type="table" w:styleId="TableGrid">
    <w:name w:val="Table Grid"/>
    <w:basedOn w:val="TableNormal"/>
    <w:uiPriority w:val="39"/>
    <w:rsid w:val="00A201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300B4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29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C1295"/>
    <w:rPr>
      <w:rFonts w:ascii="Segoe UI" w:hAnsi="Segoe UI" w:eastAsia="Arial" w:cs="Segoe UI"/>
      <w:sz w:val="18"/>
      <w:szCs w:val="18"/>
    </w:rPr>
  </w:style>
  <w:style w:type="paragraph" w:styleId="Revision">
    <w:name w:val="Revision"/>
    <w:hidden/>
    <w:uiPriority w:val="99"/>
    <w:semiHidden/>
    <w:rsid w:val="009141AD"/>
    <w:pPr>
      <w:widowControl/>
      <w:autoSpaceDE/>
      <w:autoSpaceDN/>
    </w:pPr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979FAA50691489C08C7909F25E778" ma:contentTypeVersion="10" ma:contentTypeDescription="Create a new document." ma:contentTypeScope="" ma:versionID="550f4f070d36e8ab14e0de423c973a61">
  <xsd:schema xmlns:xsd="http://www.w3.org/2001/XMLSchema" xmlns:xs="http://www.w3.org/2001/XMLSchema" xmlns:p="http://schemas.microsoft.com/office/2006/metadata/properties" xmlns:ns2="6d8780e8-25d1-427d-8dd2-107816e73832" xmlns:ns3="931698b3-89da-453e-b0ee-1dcf634efc0b" targetNamespace="http://schemas.microsoft.com/office/2006/metadata/properties" ma:root="true" ma:fieldsID="88d04d78693e714a763c625e2de1c896" ns2:_="" ns3:_="">
    <xsd:import namespace="6d8780e8-25d1-427d-8dd2-107816e73832"/>
    <xsd:import namespace="931698b3-89da-453e-b0ee-1dcf634e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780e8-25d1-427d-8dd2-107816e73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98b3-89da-453e-b0ee-1dcf634ef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1698b3-89da-453e-b0ee-1dcf634efc0b">
      <UserInfo>
        <DisplayName>Jennifer Rasteiro</DisplayName>
        <AccountId>63</AccountId>
        <AccountType/>
      </UserInfo>
      <UserInfo>
        <DisplayName>Martyn Jones</DisplayName>
        <AccountId>64</AccountId>
        <AccountType/>
      </UserInfo>
      <UserInfo>
        <DisplayName>Rebekah Stevens</DisplayName>
        <AccountId>6</AccountId>
        <AccountType/>
      </UserInfo>
      <UserInfo>
        <DisplayName>Catherine Li</DisplayName>
        <AccountId>65</AccountId>
        <AccountType/>
      </UserInfo>
      <UserInfo>
        <DisplayName>Toby Ward</DisplayName>
        <AccountId>66</AccountId>
        <AccountType/>
      </UserInfo>
      <UserInfo>
        <DisplayName>Tanya Malick</DisplayName>
        <AccountId>67</AccountId>
        <AccountType/>
      </UserInfo>
      <UserInfo>
        <DisplayName>Sandra Holmes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5D05F-9ECB-4F85-902A-E287A0532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780e8-25d1-427d-8dd2-107816e73832"/>
    <ds:schemaRef ds:uri="931698b3-89da-453e-b0ee-1dcf634ef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762C6-4133-4A36-9A29-7EF1E03A60BC}">
  <ds:schemaRefs>
    <ds:schemaRef ds:uri="931698b3-89da-453e-b0ee-1dcf634efc0b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d8780e8-25d1-427d-8dd2-107816e73832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38C1A67-8B8B-42F2-9625-45162204AC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Scheme for Registration Assessment framework visit 3 RBSH  10.5 (1) (Arial).docx</dc:title>
  <dc:creator>Ruth Bennett</dc:creator>
  <cp:lastModifiedBy>Rebekah Stevens</cp:lastModifiedBy>
  <cp:revision>20</cp:revision>
  <dcterms:created xsi:type="dcterms:W3CDTF">2024-02-07T14:35:00Z</dcterms:created>
  <dcterms:modified xsi:type="dcterms:W3CDTF">2024-05-21T08:24:07Z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Word</vt:lpwstr>
  </property>
  <property fmtid="{D5CDD505-2E9C-101B-9397-08002B2CF9AE}" pid="4" name="LastSaved">
    <vt:filetime>2019-08-01T00:00:00Z</vt:filetime>
  </property>
  <property fmtid="{D5CDD505-2E9C-101B-9397-08002B2CF9AE}" pid="5" name="ContentTypeId">
    <vt:lpwstr>0x010100A1A979FAA50691489C08C7909F25E778</vt:lpwstr>
  </property>
  <property fmtid="{D5CDD505-2E9C-101B-9397-08002B2CF9AE}" pid="6" name="MediaServiceImageTags">
    <vt:lpwstr/>
  </property>
</Properties>
</file>